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D60FE" w14:textId="77777777" w:rsidR="000631B7" w:rsidRPr="001833D9" w:rsidRDefault="000631B7" w:rsidP="007B1E13">
      <w:pPr>
        <w:spacing w:before="100" w:beforeAutospacing="1" w:after="100" w:afterAutospacing="1"/>
        <w:contextualSpacing/>
        <w:jc w:val="both"/>
        <w:rPr>
          <w:rFonts w:cstheme="minorHAnsi"/>
          <w:b/>
        </w:rPr>
      </w:pPr>
    </w:p>
    <w:p w14:paraId="0B0ED79A" w14:textId="77777777" w:rsidR="000631B7" w:rsidRDefault="000631B7" w:rsidP="000631B7">
      <w:pPr>
        <w:spacing w:before="100" w:beforeAutospacing="1" w:after="100" w:afterAutospacing="1"/>
        <w:contextualSpacing/>
        <w:jc w:val="center"/>
        <w:rPr>
          <w:rFonts w:cstheme="minorHAnsi"/>
          <w:b/>
        </w:rPr>
      </w:pPr>
    </w:p>
    <w:p w14:paraId="5371F4ED" w14:textId="77777777" w:rsidR="000631B7" w:rsidRPr="007B1E13" w:rsidRDefault="000631B7" w:rsidP="000631B7">
      <w:pPr>
        <w:spacing w:before="100" w:beforeAutospacing="1" w:after="100" w:afterAutospacing="1"/>
        <w:contextualSpacing/>
        <w:jc w:val="center"/>
        <w:rPr>
          <w:rFonts w:cstheme="minorHAnsi"/>
          <w:b/>
          <w:sz w:val="26"/>
          <w:szCs w:val="26"/>
        </w:rPr>
      </w:pPr>
      <w:r w:rsidRPr="007B1E13">
        <w:rPr>
          <w:rFonts w:cstheme="minorHAnsi"/>
          <w:b/>
          <w:sz w:val="26"/>
          <w:szCs w:val="26"/>
        </w:rPr>
        <w:t>European Production and Preservation Orders for electronic evidence in criminal matters:</w:t>
      </w:r>
    </w:p>
    <w:p w14:paraId="55CE1AF6" w14:textId="77777777" w:rsidR="000631B7" w:rsidRPr="007B1E13" w:rsidRDefault="000631B7" w:rsidP="000631B7">
      <w:pPr>
        <w:spacing w:before="100" w:beforeAutospacing="1" w:after="100" w:afterAutospacing="1"/>
        <w:contextualSpacing/>
        <w:jc w:val="center"/>
        <w:rPr>
          <w:rFonts w:cstheme="minorHAnsi"/>
          <w:b/>
          <w:sz w:val="26"/>
          <w:szCs w:val="26"/>
        </w:rPr>
      </w:pPr>
    </w:p>
    <w:p w14:paraId="5EED3AAA" w14:textId="277E22CA" w:rsidR="000631B7" w:rsidRPr="007B1E13" w:rsidRDefault="000631B7" w:rsidP="000631B7">
      <w:pPr>
        <w:spacing w:before="100" w:beforeAutospacing="1" w:after="100" w:afterAutospacing="1"/>
        <w:contextualSpacing/>
        <w:jc w:val="center"/>
        <w:rPr>
          <w:rFonts w:cstheme="minorHAnsi"/>
          <w:b/>
          <w:sz w:val="26"/>
          <w:szCs w:val="26"/>
        </w:rPr>
      </w:pPr>
      <w:r w:rsidRPr="007B1E13">
        <w:rPr>
          <w:rFonts w:cstheme="minorHAnsi"/>
          <w:b/>
          <w:sz w:val="26"/>
          <w:szCs w:val="26"/>
        </w:rPr>
        <w:t xml:space="preserve">A call for protection of the free and independent </w:t>
      </w:r>
      <w:r w:rsidR="00A6355B">
        <w:rPr>
          <w:rFonts w:cstheme="minorHAnsi"/>
          <w:b/>
          <w:sz w:val="26"/>
          <w:szCs w:val="26"/>
        </w:rPr>
        <w:t>media</w:t>
      </w:r>
      <w:r w:rsidRPr="007B1E13">
        <w:rPr>
          <w:rFonts w:cstheme="minorHAnsi"/>
          <w:b/>
          <w:sz w:val="26"/>
          <w:szCs w:val="26"/>
        </w:rPr>
        <w:t xml:space="preserve"> in Europe</w:t>
      </w:r>
    </w:p>
    <w:p w14:paraId="4DF069CB" w14:textId="77777777" w:rsidR="007B1E13" w:rsidRPr="001833D9" w:rsidRDefault="007B1E13" w:rsidP="000631B7">
      <w:pPr>
        <w:spacing w:before="100" w:beforeAutospacing="1" w:after="100" w:afterAutospacing="1"/>
        <w:contextualSpacing/>
        <w:jc w:val="center"/>
        <w:rPr>
          <w:rFonts w:cstheme="minorHAnsi"/>
          <w:b/>
        </w:rPr>
      </w:pPr>
    </w:p>
    <w:p w14:paraId="1B176904" w14:textId="77777777" w:rsidR="000631B7" w:rsidRDefault="000631B7" w:rsidP="000631B7">
      <w:pPr>
        <w:spacing w:before="100" w:beforeAutospacing="1" w:after="100" w:afterAutospacing="1"/>
        <w:contextualSpacing/>
        <w:jc w:val="both"/>
        <w:rPr>
          <w:rFonts w:cstheme="minorHAnsi"/>
        </w:rPr>
      </w:pPr>
    </w:p>
    <w:p w14:paraId="6C2470E1" w14:textId="2D09575B" w:rsidR="007B1E13" w:rsidRDefault="007B1E13" w:rsidP="007B1E13">
      <w:pPr>
        <w:spacing w:before="100" w:beforeAutospacing="1" w:after="100" w:afterAutospacing="1"/>
        <w:contextualSpacing/>
        <w:jc w:val="right"/>
        <w:rPr>
          <w:rFonts w:cstheme="minorHAnsi"/>
        </w:rPr>
      </w:pPr>
      <w:r>
        <w:rPr>
          <w:rFonts w:cstheme="minorHAnsi"/>
        </w:rPr>
        <w:t>Brussels,</w:t>
      </w:r>
      <w:r w:rsidR="00441704">
        <w:rPr>
          <w:rFonts w:cstheme="minorHAnsi"/>
        </w:rPr>
        <w:t xml:space="preserve"> </w:t>
      </w:r>
      <w:r w:rsidR="00860E57">
        <w:rPr>
          <w:rFonts w:cstheme="minorHAnsi"/>
        </w:rPr>
        <w:t>9</w:t>
      </w:r>
      <w:r w:rsidR="00441704">
        <w:rPr>
          <w:rFonts w:cstheme="minorHAnsi"/>
        </w:rPr>
        <w:t xml:space="preserve"> November</w:t>
      </w:r>
    </w:p>
    <w:p w14:paraId="4D0B4AF1" w14:textId="77777777" w:rsidR="007B1E13" w:rsidRDefault="007B1E13" w:rsidP="007B1E13">
      <w:pPr>
        <w:spacing w:before="100" w:beforeAutospacing="1" w:after="100" w:afterAutospacing="1"/>
        <w:contextualSpacing/>
        <w:jc w:val="right"/>
        <w:rPr>
          <w:rFonts w:cstheme="minorHAnsi"/>
        </w:rPr>
      </w:pPr>
    </w:p>
    <w:p w14:paraId="4546EC46" w14:textId="77777777" w:rsidR="000631B7" w:rsidRPr="001833D9" w:rsidRDefault="000631B7" w:rsidP="000631B7">
      <w:pPr>
        <w:spacing w:before="100" w:beforeAutospacing="1" w:after="100" w:afterAutospacing="1"/>
        <w:contextualSpacing/>
        <w:jc w:val="both"/>
        <w:rPr>
          <w:rFonts w:cstheme="minorHAnsi"/>
        </w:rPr>
      </w:pPr>
    </w:p>
    <w:p w14:paraId="4CE30269" w14:textId="77777777" w:rsidR="000631B7" w:rsidRDefault="000631B7" w:rsidP="000631B7">
      <w:pPr>
        <w:spacing w:before="100" w:beforeAutospacing="1" w:after="100" w:afterAutospacing="1"/>
        <w:contextualSpacing/>
        <w:jc w:val="both"/>
        <w:rPr>
          <w:rFonts w:cstheme="minorHAnsi"/>
        </w:rPr>
      </w:pPr>
      <w:r w:rsidRPr="001833D9">
        <w:rPr>
          <w:rFonts w:cstheme="minorHAnsi"/>
        </w:rPr>
        <w:t xml:space="preserve">On 17 April 2018, the European Commission presented the proposal for a </w:t>
      </w:r>
      <w:r>
        <w:rPr>
          <w:rFonts w:cstheme="minorHAnsi"/>
        </w:rPr>
        <w:t>R</w:t>
      </w:r>
      <w:r w:rsidRPr="001833D9">
        <w:rPr>
          <w:rFonts w:cstheme="minorHAnsi"/>
        </w:rPr>
        <w:t xml:space="preserve">egulation on European </w:t>
      </w:r>
      <w:r>
        <w:rPr>
          <w:rFonts w:cstheme="minorHAnsi"/>
        </w:rPr>
        <w:t>p</w:t>
      </w:r>
      <w:r w:rsidRPr="001833D9">
        <w:rPr>
          <w:rFonts w:cstheme="minorHAnsi"/>
        </w:rPr>
        <w:t xml:space="preserve">roduction and </w:t>
      </w:r>
      <w:r>
        <w:rPr>
          <w:rFonts w:cstheme="minorHAnsi"/>
        </w:rPr>
        <w:t>p</w:t>
      </w:r>
      <w:r w:rsidRPr="001833D9">
        <w:rPr>
          <w:rFonts w:cstheme="minorHAnsi"/>
        </w:rPr>
        <w:t xml:space="preserve">reservation </w:t>
      </w:r>
      <w:r>
        <w:rPr>
          <w:rFonts w:cstheme="minorHAnsi"/>
        </w:rPr>
        <w:t>o</w:t>
      </w:r>
      <w:r w:rsidRPr="001833D9">
        <w:rPr>
          <w:rFonts w:cstheme="minorHAnsi"/>
        </w:rPr>
        <w:t>rders for electronic evidence in criminal matters (</w:t>
      </w:r>
      <w:hyperlink r:id="rId7" w:history="1">
        <w:r w:rsidRPr="00E1031A">
          <w:rPr>
            <w:rStyle w:val="Hyperlink"/>
          </w:rPr>
          <w:t>COM(2018) 225 final</w:t>
        </w:r>
      </w:hyperlink>
      <w:r w:rsidRPr="001833D9">
        <w:t>)</w:t>
      </w:r>
      <w:r w:rsidRPr="001833D9">
        <w:rPr>
          <w:rFonts w:cstheme="minorHAnsi"/>
        </w:rPr>
        <w:t>. The European Commission’s proposal aims at providing judicial authorities in European Member State</w:t>
      </w:r>
      <w:r>
        <w:rPr>
          <w:rFonts w:cstheme="minorHAnsi"/>
        </w:rPr>
        <w:t>s</w:t>
      </w:r>
      <w:r w:rsidRPr="001833D9">
        <w:rPr>
          <w:rFonts w:cstheme="minorHAnsi"/>
        </w:rPr>
        <w:t xml:space="preserve"> with a tool to request the production or preservation of electronic data stored in a differe</w:t>
      </w:r>
      <w:r>
        <w:rPr>
          <w:rFonts w:cstheme="minorHAnsi"/>
        </w:rPr>
        <w:t>nt</w:t>
      </w:r>
      <w:r w:rsidRPr="001833D9">
        <w:rPr>
          <w:rFonts w:cstheme="minorHAnsi"/>
        </w:rPr>
        <w:t xml:space="preserve"> Member State via production and/or preservation orders needed for investigation and prosecution purposes in crimes identified by the proposal. The proposal would allow the competent authorities in the issuing </w:t>
      </w:r>
      <w:r>
        <w:rPr>
          <w:rFonts w:cstheme="minorHAnsi"/>
        </w:rPr>
        <w:t>M</w:t>
      </w:r>
      <w:r w:rsidRPr="001833D9">
        <w:rPr>
          <w:rFonts w:cstheme="minorHAnsi"/>
        </w:rPr>
        <w:t xml:space="preserve">ember </w:t>
      </w:r>
      <w:r>
        <w:rPr>
          <w:rFonts w:cstheme="minorHAnsi"/>
        </w:rPr>
        <w:t>S</w:t>
      </w:r>
      <w:r w:rsidRPr="001833D9">
        <w:rPr>
          <w:rFonts w:cstheme="minorHAnsi"/>
        </w:rPr>
        <w:t xml:space="preserve">tate to directly approach service providers based in an EU </w:t>
      </w:r>
      <w:r>
        <w:rPr>
          <w:rFonts w:cstheme="minorHAnsi"/>
        </w:rPr>
        <w:t>M</w:t>
      </w:r>
      <w:r w:rsidRPr="001833D9">
        <w:rPr>
          <w:rFonts w:cstheme="minorHAnsi"/>
        </w:rPr>
        <w:t xml:space="preserve">ember </w:t>
      </w:r>
      <w:r>
        <w:rPr>
          <w:rFonts w:cstheme="minorHAnsi"/>
        </w:rPr>
        <w:t>S</w:t>
      </w:r>
      <w:r w:rsidRPr="001833D9">
        <w:rPr>
          <w:rFonts w:cstheme="minorHAnsi"/>
        </w:rPr>
        <w:t xml:space="preserve">tate to obtain electronic evidence originating from emails, messaging apps, social networks and </w:t>
      </w:r>
      <w:r>
        <w:rPr>
          <w:rFonts w:cstheme="minorHAnsi"/>
        </w:rPr>
        <w:t>similar services</w:t>
      </w:r>
      <w:r w:rsidRPr="001833D9">
        <w:rPr>
          <w:rFonts w:cstheme="minorHAnsi"/>
        </w:rPr>
        <w:t xml:space="preserve">. </w:t>
      </w:r>
    </w:p>
    <w:p w14:paraId="3BE04CD6" w14:textId="77777777" w:rsidR="000631B7" w:rsidRDefault="000631B7" w:rsidP="000631B7">
      <w:pPr>
        <w:spacing w:before="100" w:beforeAutospacing="1" w:after="100" w:afterAutospacing="1"/>
        <w:contextualSpacing/>
        <w:jc w:val="both"/>
        <w:rPr>
          <w:rFonts w:cstheme="minorHAnsi"/>
        </w:rPr>
      </w:pPr>
    </w:p>
    <w:p w14:paraId="26F08DA7" w14:textId="312876ED" w:rsidR="000631B7" w:rsidRPr="001833D9" w:rsidRDefault="00A012D0" w:rsidP="000631B7">
      <w:pPr>
        <w:spacing w:before="100" w:beforeAutospacing="1" w:after="100" w:afterAutospacing="1"/>
        <w:contextualSpacing/>
        <w:jc w:val="both"/>
        <w:rPr>
          <w:rFonts w:cstheme="minorHAnsi"/>
        </w:rPr>
      </w:pPr>
      <w:r w:rsidRPr="009622BC">
        <w:rPr>
          <w:rFonts w:cstheme="minorHAnsi"/>
          <w:b/>
        </w:rPr>
        <w:t>ACT</w:t>
      </w:r>
      <w:r w:rsidRPr="00860E57">
        <w:rPr>
          <w:rFonts w:cstheme="minorHAnsi"/>
        </w:rPr>
        <w:t>,</w:t>
      </w:r>
      <w:r w:rsidRPr="009622BC">
        <w:rPr>
          <w:rFonts w:cstheme="minorHAnsi"/>
          <w:b/>
        </w:rPr>
        <w:t xml:space="preserve"> </w:t>
      </w:r>
      <w:r w:rsidRPr="00860E57">
        <w:rPr>
          <w:rFonts w:cstheme="minorHAnsi"/>
        </w:rPr>
        <w:t>the Association of Commercial Television in Europe</w:t>
      </w:r>
      <w:r w:rsidR="00070C65" w:rsidRPr="009622BC">
        <w:rPr>
          <w:rFonts w:cstheme="minorHAnsi"/>
        </w:rPr>
        <w:t>,</w:t>
      </w:r>
      <w:r w:rsidRPr="00A012D0">
        <w:rPr>
          <w:rFonts w:cstheme="minorHAnsi"/>
          <w:b/>
        </w:rPr>
        <w:t xml:space="preserve"> </w:t>
      </w:r>
      <w:r w:rsidR="00441704" w:rsidRPr="00441704">
        <w:rPr>
          <w:rFonts w:cstheme="minorHAnsi"/>
          <w:b/>
        </w:rPr>
        <w:t>AER</w:t>
      </w:r>
      <w:r w:rsidR="00441704" w:rsidRPr="00441704">
        <w:rPr>
          <w:rFonts w:cstheme="minorHAnsi"/>
        </w:rPr>
        <w:t xml:space="preserve">, the Association of European Radios; </w:t>
      </w:r>
      <w:r w:rsidR="00441704" w:rsidRPr="00441704">
        <w:rPr>
          <w:rFonts w:cstheme="minorHAnsi"/>
          <w:b/>
        </w:rPr>
        <w:t>EBU</w:t>
      </w:r>
      <w:r w:rsidR="00441704" w:rsidRPr="00860E57">
        <w:rPr>
          <w:rFonts w:cstheme="minorHAnsi"/>
        </w:rPr>
        <w:t>,</w:t>
      </w:r>
      <w:r w:rsidR="00441704" w:rsidRPr="00441704">
        <w:rPr>
          <w:rFonts w:cstheme="minorHAnsi"/>
        </w:rPr>
        <w:t xml:space="preserve"> the European Broadcasting Union; </w:t>
      </w:r>
      <w:r w:rsidR="00441704" w:rsidRPr="00441704">
        <w:rPr>
          <w:rFonts w:cstheme="minorHAnsi"/>
          <w:b/>
        </w:rPr>
        <w:t>EFJ</w:t>
      </w:r>
      <w:r w:rsidR="00441704" w:rsidRPr="00441704">
        <w:rPr>
          <w:rFonts w:cstheme="minorHAnsi"/>
        </w:rPr>
        <w:t xml:space="preserve">, the European Federation of </w:t>
      </w:r>
      <w:r w:rsidR="0022330A">
        <w:rPr>
          <w:rFonts w:cstheme="minorHAnsi"/>
        </w:rPr>
        <w:t>J</w:t>
      </w:r>
      <w:r w:rsidR="00441704" w:rsidRPr="00441704">
        <w:rPr>
          <w:rFonts w:cstheme="minorHAnsi"/>
        </w:rPr>
        <w:t xml:space="preserve">ournalists; </w:t>
      </w:r>
      <w:r w:rsidR="00441704" w:rsidRPr="00441704">
        <w:rPr>
          <w:rFonts w:cstheme="minorHAnsi"/>
          <w:b/>
        </w:rPr>
        <w:t>EMMA</w:t>
      </w:r>
      <w:r w:rsidR="00441704" w:rsidRPr="00441704">
        <w:rPr>
          <w:rFonts w:cstheme="minorHAnsi"/>
        </w:rPr>
        <w:t xml:space="preserve">, the European Magazine Media Association; </w:t>
      </w:r>
      <w:r w:rsidR="00441704" w:rsidRPr="00441704">
        <w:rPr>
          <w:rFonts w:cstheme="minorHAnsi"/>
          <w:b/>
        </w:rPr>
        <w:t>ENPA</w:t>
      </w:r>
      <w:r w:rsidR="00441704" w:rsidRPr="00441704">
        <w:rPr>
          <w:rFonts w:cstheme="minorHAnsi"/>
        </w:rPr>
        <w:t xml:space="preserve">, the European Newspaper Publishers’ Association; </w:t>
      </w:r>
      <w:r w:rsidR="00441704" w:rsidRPr="00441704">
        <w:rPr>
          <w:rFonts w:cstheme="minorHAnsi"/>
          <w:b/>
        </w:rPr>
        <w:t>EPC</w:t>
      </w:r>
      <w:r w:rsidR="00441704" w:rsidRPr="00441704">
        <w:rPr>
          <w:rFonts w:cstheme="minorHAnsi"/>
        </w:rPr>
        <w:t>, the European Publishers Council</w:t>
      </w:r>
      <w:r w:rsidR="00860E57">
        <w:rPr>
          <w:rFonts w:cstheme="minorHAnsi"/>
        </w:rPr>
        <w:t>,</w:t>
      </w:r>
      <w:r w:rsidR="009D73F0">
        <w:rPr>
          <w:rFonts w:cstheme="minorHAnsi"/>
        </w:rPr>
        <w:t xml:space="preserve"> </w:t>
      </w:r>
      <w:r w:rsidR="00441704" w:rsidRPr="00441704">
        <w:rPr>
          <w:rFonts w:cstheme="minorHAnsi"/>
          <w:b/>
        </w:rPr>
        <w:t>NME</w:t>
      </w:r>
      <w:r w:rsidR="00860E57">
        <w:rPr>
          <w:rFonts w:cstheme="minorHAnsi"/>
        </w:rPr>
        <w:t xml:space="preserve">, </w:t>
      </w:r>
      <w:r w:rsidR="00441704" w:rsidRPr="00441704">
        <w:rPr>
          <w:rFonts w:cstheme="minorHAnsi"/>
        </w:rPr>
        <w:t>News Media Europe</w:t>
      </w:r>
      <w:r w:rsidR="009D73F0">
        <w:rPr>
          <w:rFonts w:cstheme="minorHAnsi"/>
        </w:rPr>
        <w:t xml:space="preserve"> and</w:t>
      </w:r>
      <w:r w:rsidR="009622BC">
        <w:rPr>
          <w:rFonts w:cstheme="minorHAnsi"/>
        </w:rPr>
        <w:t xml:space="preserve"> </w:t>
      </w:r>
      <w:r w:rsidR="009622BC" w:rsidRPr="00860E57">
        <w:rPr>
          <w:rFonts w:cstheme="minorHAnsi"/>
          <w:b/>
        </w:rPr>
        <w:t>UNI MEI Global Union</w:t>
      </w:r>
      <w:r w:rsidR="00441704" w:rsidRPr="00441704">
        <w:rPr>
          <w:rFonts w:cstheme="minorHAnsi"/>
        </w:rPr>
        <w:t xml:space="preserve"> </w:t>
      </w:r>
      <w:r w:rsidR="000631B7">
        <w:rPr>
          <w:rFonts w:cstheme="minorHAnsi"/>
        </w:rPr>
        <w:t xml:space="preserve">would like to </w:t>
      </w:r>
      <w:r w:rsidR="00860E57">
        <w:rPr>
          <w:rFonts w:cstheme="minorHAnsi"/>
        </w:rPr>
        <w:t xml:space="preserve">jointly </w:t>
      </w:r>
      <w:r w:rsidR="000631B7">
        <w:rPr>
          <w:rFonts w:cstheme="minorHAnsi"/>
        </w:rPr>
        <w:t>raise their concerns on the Commission’</w:t>
      </w:r>
      <w:r w:rsidR="000631B7" w:rsidRPr="009F1AE5">
        <w:rPr>
          <w:rFonts w:cstheme="minorHAnsi"/>
        </w:rPr>
        <w:t>s proposal</w:t>
      </w:r>
      <w:r w:rsidR="000631B7">
        <w:rPr>
          <w:rFonts w:cstheme="minorHAnsi"/>
        </w:rPr>
        <w:t xml:space="preserve">’s </w:t>
      </w:r>
      <w:r w:rsidR="000631B7" w:rsidRPr="00E1031A">
        <w:rPr>
          <w:rFonts w:cstheme="minorHAnsi"/>
        </w:rPr>
        <w:t>serious implications it could have on media and journalists’ freedom.</w:t>
      </w:r>
    </w:p>
    <w:p w14:paraId="75770653" w14:textId="77777777" w:rsidR="000631B7" w:rsidRDefault="000631B7" w:rsidP="000631B7">
      <w:pPr>
        <w:spacing w:before="100" w:beforeAutospacing="1" w:after="100" w:afterAutospacing="1"/>
        <w:contextualSpacing/>
        <w:jc w:val="both"/>
        <w:rPr>
          <w:rFonts w:cstheme="minorHAnsi"/>
        </w:rPr>
      </w:pPr>
      <w:r w:rsidRPr="001833D9">
        <w:rPr>
          <w:rFonts w:cstheme="minorHAnsi"/>
        </w:rPr>
        <w:t> </w:t>
      </w:r>
    </w:p>
    <w:p w14:paraId="723A8301" w14:textId="614E8610" w:rsidR="000631B7" w:rsidRPr="001833D9" w:rsidRDefault="000631B7" w:rsidP="000631B7">
      <w:pPr>
        <w:spacing w:before="100" w:beforeAutospacing="1" w:after="100" w:afterAutospacing="1"/>
        <w:contextualSpacing/>
        <w:jc w:val="both"/>
        <w:rPr>
          <w:rFonts w:cstheme="minorHAnsi"/>
        </w:rPr>
      </w:pPr>
      <w:r w:rsidRPr="001833D9">
        <w:rPr>
          <w:rFonts w:cstheme="minorHAnsi"/>
        </w:rPr>
        <w:t xml:space="preserve">While </w:t>
      </w:r>
      <w:r>
        <w:rPr>
          <w:rFonts w:cstheme="minorHAnsi"/>
        </w:rPr>
        <w:t xml:space="preserve">there is </w:t>
      </w:r>
      <w:r w:rsidRPr="001833D9">
        <w:rPr>
          <w:rFonts w:cstheme="minorHAnsi"/>
        </w:rPr>
        <w:t>no reason to believe that the intention of the proposed Regulation is to undermine press and</w:t>
      </w:r>
      <w:r w:rsidR="000A186E">
        <w:rPr>
          <w:rFonts w:cstheme="minorHAnsi"/>
        </w:rPr>
        <w:t xml:space="preserve"> </w:t>
      </w:r>
      <w:r w:rsidRPr="001833D9">
        <w:rPr>
          <w:rFonts w:cstheme="minorHAnsi"/>
        </w:rPr>
        <w:t xml:space="preserve">media freedom, </w:t>
      </w:r>
      <w:r>
        <w:rPr>
          <w:rFonts w:cstheme="minorHAnsi"/>
        </w:rPr>
        <w:t xml:space="preserve">the proposal – as presented by the European Commission – </w:t>
      </w:r>
      <w:r>
        <w:rPr>
          <w:rFonts w:cstheme="minorHAnsi"/>
          <w:b/>
          <w:bCs/>
        </w:rPr>
        <w:t>would pose an unacceptable threat for the freedom of press</w:t>
      </w:r>
      <w:r w:rsidR="00701A40">
        <w:rPr>
          <w:rFonts w:cstheme="minorHAnsi"/>
          <w:b/>
          <w:bCs/>
        </w:rPr>
        <w:t xml:space="preserve"> and media</w:t>
      </w:r>
      <w:r>
        <w:rPr>
          <w:rFonts w:cstheme="minorHAnsi"/>
          <w:b/>
          <w:bCs/>
        </w:rPr>
        <w:t>, the freedom of expression as well as the freedom of information.</w:t>
      </w:r>
    </w:p>
    <w:p w14:paraId="49C0AA15" w14:textId="77777777" w:rsidR="000631B7" w:rsidRPr="001833D9" w:rsidRDefault="000631B7" w:rsidP="000631B7">
      <w:pPr>
        <w:spacing w:before="100" w:beforeAutospacing="1" w:after="100" w:afterAutospacing="1"/>
        <w:contextualSpacing/>
        <w:jc w:val="both"/>
        <w:rPr>
          <w:rFonts w:cstheme="minorHAnsi"/>
        </w:rPr>
      </w:pPr>
      <w:r w:rsidRPr="001833D9">
        <w:rPr>
          <w:rFonts w:cstheme="minorHAnsi"/>
        </w:rPr>
        <w:t> </w:t>
      </w:r>
    </w:p>
    <w:p w14:paraId="7F49D70B" w14:textId="77777777" w:rsidR="000631B7" w:rsidRDefault="000631B7" w:rsidP="000631B7">
      <w:pPr>
        <w:spacing w:before="100" w:beforeAutospacing="1" w:after="100" w:afterAutospacing="1"/>
        <w:contextualSpacing/>
        <w:jc w:val="both"/>
        <w:rPr>
          <w:rFonts w:cstheme="minorHAnsi"/>
        </w:rPr>
      </w:pPr>
      <w:r>
        <w:rPr>
          <w:rFonts w:cstheme="minorHAnsi"/>
        </w:rPr>
        <w:t>It is a key task of the press</w:t>
      </w:r>
      <w:r w:rsidR="0081126B">
        <w:rPr>
          <w:rFonts w:cstheme="minorHAnsi"/>
        </w:rPr>
        <w:t xml:space="preserve"> and media </w:t>
      </w:r>
      <w:r>
        <w:rPr>
          <w:rFonts w:cstheme="minorHAnsi"/>
        </w:rPr>
        <w:t xml:space="preserve">to </w:t>
      </w:r>
      <w:r>
        <w:rPr>
          <w:rFonts w:cstheme="minorHAnsi"/>
          <w:b/>
        </w:rPr>
        <w:t>ensure</w:t>
      </w:r>
      <w:r w:rsidRPr="0095657E">
        <w:rPr>
          <w:rFonts w:cstheme="minorHAnsi"/>
          <w:b/>
        </w:rPr>
        <w:t xml:space="preserve"> independent reporting</w:t>
      </w:r>
      <w:r>
        <w:rPr>
          <w:rFonts w:cstheme="minorHAnsi"/>
        </w:rPr>
        <w:t xml:space="preserve">. In order for it to be guaranteed, the </w:t>
      </w:r>
      <w:r w:rsidRPr="0095657E">
        <w:rPr>
          <w:rFonts w:cstheme="minorHAnsi"/>
          <w:b/>
        </w:rPr>
        <w:t>protection of journalistic research</w:t>
      </w:r>
      <w:r>
        <w:rPr>
          <w:rFonts w:cstheme="minorHAnsi"/>
        </w:rPr>
        <w:t xml:space="preserve">, including the </w:t>
      </w:r>
      <w:r w:rsidRPr="00287BFA">
        <w:rPr>
          <w:rFonts w:cstheme="minorHAnsi"/>
          <w:b/>
        </w:rPr>
        <w:t>protection</w:t>
      </w:r>
      <w:r w:rsidRPr="00497514">
        <w:rPr>
          <w:rFonts w:cstheme="minorHAnsi"/>
          <w:b/>
        </w:rPr>
        <w:t xml:space="preserve"> </w:t>
      </w:r>
      <w:r w:rsidRPr="00287BFA">
        <w:rPr>
          <w:rFonts w:cstheme="minorHAnsi"/>
          <w:b/>
        </w:rPr>
        <w:t>of</w:t>
      </w:r>
      <w:r w:rsidRPr="0095657E">
        <w:rPr>
          <w:rFonts w:cstheme="minorHAnsi"/>
          <w:b/>
        </w:rPr>
        <w:t xml:space="preserve"> sources</w:t>
      </w:r>
      <w:r>
        <w:rPr>
          <w:rFonts w:cstheme="minorHAnsi"/>
        </w:rPr>
        <w:t xml:space="preserve"> and the </w:t>
      </w:r>
      <w:r w:rsidRPr="00287BFA">
        <w:rPr>
          <w:rFonts w:cstheme="minorHAnsi"/>
          <w:b/>
        </w:rPr>
        <w:t>protection of</w:t>
      </w:r>
      <w:r>
        <w:rPr>
          <w:rFonts w:cstheme="minorHAnsi"/>
        </w:rPr>
        <w:t xml:space="preserve"> </w:t>
      </w:r>
      <w:r w:rsidRPr="0095657E">
        <w:rPr>
          <w:rFonts w:cstheme="minorHAnsi"/>
          <w:b/>
        </w:rPr>
        <w:t>editorial secrecy</w:t>
      </w:r>
      <w:r>
        <w:rPr>
          <w:rFonts w:cstheme="minorHAnsi"/>
        </w:rPr>
        <w:t xml:space="preserve"> are indispensable.</w:t>
      </w:r>
    </w:p>
    <w:p w14:paraId="4ECBC505" w14:textId="77777777" w:rsidR="000631B7" w:rsidRDefault="000631B7" w:rsidP="000631B7">
      <w:pPr>
        <w:spacing w:before="100" w:beforeAutospacing="1" w:after="100" w:afterAutospacing="1"/>
        <w:contextualSpacing/>
        <w:jc w:val="both"/>
        <w:rPr>
          <w:rFonts w:cstheme="minorHAnsi"/>
        </w:rPr>
      </w:pPr>
    </w:p>
    <w:p w14:paraId="7A522CC0" w14:textId="77777777" w:rsidR="000631B7" w:rsidRDefault="000631B7" w:rsidP="000631B7">
      <w:pPr>
        <w:spacing w:before="100" w:beforeAutospacing="1" w:after="100" w:afterAutospacing="1"/>
        <w:contextualSpacing/>
        <w:jc w:val="both"/>
        <w:rPr>
          <w:rFonts w:cstheme="minorHAnsi"/>
        </w:rPr>
      </w:pPr>
      <w:r>
        <w:rPr>
          <w:rFonts w:cstheme="minorHAnsi"/>
        </w:rPr>
        <w:t>However, p</w:t>
      </w:r>
      <w:r w:rsidRPr="001833D9">
        <w:rPr>
          <w:rFonts w:cstheme="minorHAnsi"/>
        </w:rPr>
        <w:t>ublishers</w:t>
      </w:r>
      <w:r w:rsidR="00701A40">
        <w:rPr>
          <w:rFonts w:cstheme="minorHAnsi"/>
        </w:rPr>
        <w:t>, broadcasters</w:t>
      </w:r>
      <w:r w:rsidRPr="001833D9">
        <w:rPr>
          <w:rFonts w:cstheme="minorHAnsi"/>
        </w:rPr>
        <w:t xml:space="preserve"> and journalists w</w:t>
      </w:r>
      <w:r>
        <w:rPr>
          <w:rFonts w:cstheme="minorHAnsi"/>
        </w:rPr>
        <w:t>ould</w:t>
      </w:r>
      <w:r w:rsidRPr="001833D9">
        <w:rPr>
          <w:rFonts w:cstheme="minorHAnsi"/>
        </w:rPr>
        <w:t xml:space="preserve"> be </w:t>
      </w:r>
      <w:r w:rsidRPr="00767CED">
        <w:rPr>
          <w:rFonts w:cstheme="minorHAnsi"/>
          <w:bCs/>
        </w:rPr>
        <w:t>directly affected</w:t>
      </w:r>
      <w:r w:rsidRPr="001833D9">
        <w:rPr>
          <w:rFonts w:cstheme="minorHAnsi"/>
        </w:rPr>
        <w:t xml:space="preserve"> by provisions of the </w:t>
      </w:r>
      <w:r>
        <w:rPr>
          <w:rFonts w:cstheme="minorHAnsi"/>
        </w:rPr>
        <w:t>proposed</w:t>
      </w:r>
      <w:r w:rsidRPr="001833D9">
        <w:rPr>
          <w:rFonts w:cstheme="minorHAnsi"/>
        </w:rPr>
        <w:t xml:space="preserve"> Regulation </w:t>
      </w:r>
      <w:r w:rsidRPr="001833D9">
        <w:rPr>
          <w:rFonts w:cstheme="minorHAnsi"/>
          <w:b/>
          <w:bCs/>
        </w:rPr>
        <w:t>as users of</w:t>
      </w:r>
      <w:r w:rsidRPr="001833D9">
        <w:rPr>
          <w:rFonts w:cstheme="minorHAnsi"/>
        </w:rPr>
        <w:t> </w:t>
      </w:r>
      <w:r w:rsidRPr="001833D9">
        <w:rPr>
          <w:rFonts w:cstheme="minorHAnsi"/>
          <w:b/>
          <w:bCs/>
        </w:rPr>
        <w:t>electronic services</w:t>
      </w:r>
      <w:r>
        <w:rPr>
          <w:rFonts w:cstheme="minorHAnsi"/>
        </w:rPr>
        <w:t xml:space="preserve">. </w:t>
      </w:r>
      <w:r w:rsidRPr="001833D9">
        <w:rPr>
          <w:rFonts w:cstheme="minorHAnsi"/>
        </w:rPr>
        <w:t xml:space="preserve">In the digital age, journalists rely on the use of electronic communication </w:t>
      </w:r>
      <w:r>
        <w:rPr>
          <w:rFonts w:cstheme="minorHAnsi"/>
        </w:rPr>
        <w:t xml:space="preserve">as </w:t>
      </w:r>
      <w:r w:rsidRPr="001833D9">
        <w:rPr>
          <w:rFonts w:cstheme="minorHAnsi"/>
        </w:rPr>
        <w:t xml:space="preserve">means to </w:t>
      </w:r>
      <w:r>
        <w:rPr>
          <w:rFonts w:cstheme="minorHAnsi"/>
        </w:rPr>
        <w:t xml:space="preserve">conduct journalistic research, including </w:t>
      </w:r>
      <w:r w:rsidRPr="001833D9">
        <w:rPr>
          <w:rFonts w:cstheme="minorHAnsi"/>
        </w:rPr>
        <w:t>interact</w:t>
      </w:r>
      <w:r>
        <w:rPr>
          <w:rFonts w:cstheme="minorHAnsi"/>
        </w:rPr>
        <w:t>ing</w:t>
      </w:r>
      <w:r w:rsidRPr="001833D9">
        <w:rPr>
          <w:rFonts w:cstheme="minorHAnsi"/>
        </w:rPr>
        <w:t xml:space="preserve"> with informants and </w:t>
      </w:r>
      <w:proofErr w:type="spellStart"/>
      <w:r w:rsidRPr="001833D9">
        <w:rPr>
          <w:rFonts w:cstheme="minorHAnsi"/>
        </w:rPr>
        <w:t>whistleblowers</w:t>
      </w:r>
      <w:proofErr w:type="spellEnd"/>
      <w:r>
        <w:rPr>
          <w:rFonts w:cstheme="minorHAnsi"/>
        </w:rPr>
        <w:t xml:space="preserve"> as well as </w:t>
      </w:r>
      <w:r w:rsidRPr="001833D9">
        <w:rPr>
          <w:rFonts w:cstheme="minorHAnsi"/>
        </w:rPr>
        <w:t>stor</w:t>
      </w:r>
      <w:r>
        <w:rPr>
          <w:rFonts w:cstheme="minorHAnsi"/>
        </w:rPr>
        <w:t>ing</w:t>
      </w:r>
      <w:r w:rsidRPr="001833D9">
        <w:rPr>
          <w:rFonts w:cstheme="minorHAnsi"/>
        </w:rPr>
        <w:t xml:space="preserve"> </w:t>
      </w:r>
      <w:r>
        <w:rPr>
          <w:rFonts w:cstheme="minorHAnsi"/>
        </w:rPr>
        <w:t>information</w:t>
      </w:r>
      <w:r w:rsidRPr="001833D9">
        <w:rPr>
          <w:rFonts w:cstheme="minorHAnsi"/>
        </w:rPr>
        <w:t xml:space="preserve"> on computers or cloud servers. </w:t>
      </w:r>
      <w:r>
        <w:rPr>
          <w:rFonts w:cstheme="minorHAnsi"/>
        </w:rPr>
        <w:t xml:space="preserve">We are therefore concerned that the </w:t>
      </w:r>
      <w:r w:rsidRPr="0019613C">
        <w:rPr>
          <w:rFonts w:cstheme="minorHAnsi"/>
          <w:b/>
        </w:rPr>
        <w:t xml:space="preserve">types of data </w:t>
      </w:r>
      <w:r w:rsidRPr="007478F2">
        <w:rPr>
          <w:rFonts w:cstheme="minorHAnsi"/>
        </w:rPr>
        <w:t>that</w:t>
      </w:r>
      <w:r w:rsidRPr="00DE32C7">
        <w:rPr>
          <w:rFonts w:cstheme="minorHAnsi"/>
        </w:rPr>
        <w:t xml:space="preserve"> </w:t>
      </w:r>
      <w:r>
        <w:rPr>
          <w:rFonts w:cstheme="minorHAnsi"/>
        </w:rPr>
        <w:t xml:space="preserve">service </w:t>
      </w:r>
      <w:r w:rsidRPr="00DE32C7">
        <w:rPr>
          <w:rFonts w:cstheme="minorHAnsi"/>
        </w:rPr>
        <w:t xml:space="preserve">providers </w:t>
      </w:r>
      <w:r>
        <w:rPr>
          <w:rFonts w:cstheme="minorHAnsi"/>
        </w:rPr>
        <w:t>ought to</w:t>
      </w:r>
      <w:r w:rsidRPr="00DE32C7">
        <w:rPr>
          <w:rFonts w:cstheme="minorHAnsi"/>
        </w:rPr>
        <w:t xml:space="preserve"> hand over to issuing authorities in other </w:t>
      </w:r>
      <w:r>
        <w:rPr>
          <w:rFonts w:cstheme="minorHAnsi"/>
        </w:rPr>
        <w:t>M</w:t>
      </w:r>
      <w:r w:rsidRPr="00DE32C7">
        <w:rPr>
          <w:rFonts w:cstheme="minorHAnsi"/>
        </w:rPr>
        <w:t xml:space="preserve">ember </w:t>
      </w:r>
      <w:r>
        <w:rPr>
          <w:rFonts w:cstheme="minorHAnsi"/>
        </w:rPr>
        <w:t>S</w:t>
      </w:r>
      <w:r w:rsidRPr="00DE32C7">
        <w:rPr>
          <w:rFonts w:cstheme="minorHAnsi"/>
        </w:rPr>
        <w:t>tates</w:t>
      </w:r>
      <w:r w:rsidRPr="0019613C">
        <w:rPr>
          <w:rFonts w:cstheme="minorHAnsi"/>
          <w:b/>
        </w:rPr>
        <w:t xml:space="preserve"> </w:t>
      </w:r>
      <w:r w:rsidRPr="00DC3AF1">
        <w:rPr>
          <w:rFonts w:cstheme="minorHAnsi"/>
        </w:rPr>
        <w:t xml:space="preserve">with limited </w:t>
      </w:r>
      <w:r>
        <w:rPr>
          <w:rFonts w:cstheme="minorHAnsi"/>
        </w:rPr>
        <w:t xml:space="preserve">legal </w:t>
      </w:r>
      <w:r w:rsidRPr="00DC3AF1">
        <w:rPr>
          <w:rFonts w:cstheme="minorHAnsi"/>
        </w:rPr>
        <w:t xml:space="preserve">remedies </w:t>
      </w:r>
      <w:r w:rsidRPr="001833D9">
        <w:rPr>
          <w:rFonts w:cstheme="minorHAnsi"/>
        </w:rPr>
        <w:t xml:space="preserve">include </w:t>
      </w:r>
      <w:r w:rsidRPr="00DE32C7">
        <w:rPr>
          <w:rFonts w:cstheme="minorHAnsi"/>
          <w:b/>
        </w:rPr>
        <w:t>subscriber data</w:t>
      </w:r>
      <w:r w:rsidRPr="001833D9">
        <w:rPr>
          <w:rFonts w:cstheme="minorHAnsi"/>
        </w:rPr>
        <w:t xml:space="preserve"> (</w:t>
      </w:r>
      <w:r>
        <w:rPr>
          <w:rFonts w:cstheme="minorHAnsi"/>
        </w:rPr>
        <w:t>e.g.</w:t>
      </w:r>
      <w:r w:rsidRPr="001833D9">
        <w:rPr>
          <w:rFonts w:cstheme="minorHAnsi"/>
        </w:rPr>
        <w:t xml:space="preserve"> the identity of the subscriber including </w:t>
      </w:r>
      <w:r>
        <w:rPr>
          <w:rFonts w:cstheme="minorHAnsi"/>
        </w:rPr>
        <w:t xml:space="preserve">its </w:t>
      </w:r>
      <w:r w:rsidRPr="001833D9">
        <w:rPr>
          <w:rFonts w:cstheme="minorHAnsi"/>
        </w:rPr>
        <w:t>name, date of birth</w:t>
      </w:r>
      <w:r>
        <w:rPr>
          <w:rFonts w:cstheme="minorHAnsi"/>
        </w:rPr>
        <w:t xml:space="preserve"> and</w:t>
      </w:r>
      <w:r w:rsidRPr="001833D9">
        <w:rPr>
          <w:rFonts w:cstheme="minorHAnsi"/>
        </w:rPr>
        <w:t xml:space="preserve"> address), </w:t>
      </w:r>
      <w:r w:rsidRPr="00DE32C7">
        <w:rPr>
          <w:rFonts w:cstheme="minorHAnsi"/>
          <w:b/>
        </w:rPr>
        <w:t>access data</w:t>
      </w:r>
      <w:r w:rsidRPr="001833D9">
        <w:rPr>
          <w:rFonts w:cstheme="minorHAnsi"/>
        </w:rPr>
        <w:t xml:space="preserve"> (</w:t>
      </w:r>
      <w:r>
        <w:rPr>
          <w:rFonts w:cstheme="minorHAnsi"/>
        </w:rPr>
        <w:t>e.g.</w:t>
      </w:r>
      <w:r w:rsidRPr="001833D9">
        <w:rPr>
          <w:rFonts w:cstheme="minorHAnsi"/>
        </w:rPr>
        <w:t xml:space="preserve"> the commencement and termination of a user accessing a service), </w:t>
      </w:r>
      <w:r w:rsidRPr="00DE32C7">
        <w:rPr>
          <w:rFonts w:cstheme="minorHAnsi"/>
          <w:b/>
        </w:rPr>
        <w:t>transaction data</w:t>
      </w:r>
      <w:r w:rsidRPr="001833D9">
        <w:rPr>
          <w:rFonts w:cstheme="minorHAnsi"/>
        </w:rPr>
        <w:t xml:space="preserve"> (</w:t>
      </w:r>
      <w:r>
        <w:rPr>
          <w:rFonts w:cstheme="minorHAnsi"/>
        </w:rPr>
        <w:t>e.g.</w:t>
      </w:r>
      <w:r w:rsidRPr="001833D9">
        <w:rPr>
          <w:rFonts w:cstheme="minorHAnsi"/>
        </w:rPr>
        <w:t xml:space="preserve"> the source and destination of messages) and even </w:t>
      </w:r>
      <w:r w:rsidRPr="00DE32C7">
        <w:rPr>
          <w:rFonts w:cstheme="minorHAnsi"/>
          <w:b/>
        </w:rPr>
        <w:t>content data</w:t>
      </w:r>
      <w:r w:rsidRPr="001833D9">
        <w:rPr>
          <w:rFonts w:cstheme="minorHAnsi"/>
        </w:rPr>
        <w:t xml:space="preserve"> (</w:t>
      </w:r>
      <w:r>
        <w:rPr>
          <w:rFonts w:cstheme="minorHAnsi"/>
        </w:rPr>
        <w:t>e.g.</w:t>
      </w:r>
      <w:r w:rsidRPr="001833D9">
        <w:rPr>
          <w:rFonts w:cstheme="minorHAnsi"/>
        </w:rPr>
        <w:t xml:space="preserve"> text</w:t>
      </w:r>
      <w:r>
        <w:rPr>
          <w:rFonts w:cstheme="minorHAnsi"/>
        </w:rPr>
        <w:t>s</w:t>
      </w:r>
      <w:r w:rsidRPr="001833D9">
        <w:rPr>
          <w:rFonts w:cstheme="minorHAnsi"/>
        </w:rPr>
        <w:t>, voice</w:t>
      </w:r>
      <w:r>
        <w:rPr>
          <w:rFonts w:cstheme="minorHAnsi"/>
        </w:rPr>
        <w:t xml:space="preserve"> messages</w:t>
      </w:r>
      <w:r w:rsidRPr="001833D9">
        <w:rPr>
          <w:rFonts w:cstheme="minorHAnsi"/>
        </w:rPr>
        <w:t>, videos</w:t>
      </w:r>
      <w:r>
        <w:rPr>
          <w:rFonts w:cstheme="minorHAnsi"/>
        </w:rPr>
        <w:t xml:space="preserve"> and </w:t>
      </w:r>
      <w:r w:rsidRPr="001833D9">
        <w:rPr>
          <w:rFonts w:cstheme="minorHAnsi"/>
        </w:rPr>
        <w:t>images).</w:t>
      </w:r>
      <w:r>
        <w:rPr>
          <w:rFonts w:cstheme="minorHAnsi"/>
        </w:rPr>
        <w:t xml:space="preserve"> </w:t>
      </w:r>
    </w:p>
    <w:p w14:paraId="3D8BBD15" w14:textId="77777777" w:rsidR="000631B7" w:rsidRDefault="000631B7" w:rsidP="000631B7">
      <w:pPr>
        <w:spacing w:before="100" w:beforeAutospacing="1" w:after="100" w:afterAutospacing="1"/>
        <w:contextualSpacing/>
        <w:jc w:val="both"/>
        <w:rPr>
          <w:rFonts w:cstheme="minorHAnsi"/>
        </w:rPr>
      </w:pPr>
    </w:p>
    <w:p w14:paraId="34E1A7DF" w14:textId="77777777" w:rsidR="000631B7" w:rsidRDefault="000631B7" w:rsidP="000631B7">
      <w:pPr>
        <w:spacing w:before="100" w:beforeAutospacing="1" w:after="100" w:afterAutospacing="1"/>
        <w:contextualSpacing/>
        <w:jc w:val="both"/>
        <w:rPr>
          <w:rFonts w:cstheme="minorHAnsi"/>
        </w:rPr>
      </w:pPr>
      <w:r>
        <w:rPr>
          <w:rFonts w:cstheme="minorHAnsi"/>
        </w:rPr>
        <w:t>T</w:t>
      </w:r>
      <w:r w:rsidRPr="001833D9">
        <w:rPr>
          <w:rFonts w:cstheme="minorHAnsi"/>
        </w:rPr>
        <w:t>he possibility to obtain such</w:t>
      </w:r>
      <w:r w:rsidRPr="001833D9">
        <w:rPr>
          <w:rFonts w:cstheme="minorHAnsi"/>
          <w:b/>
        </w:rPr>
        <w:t xml:space="preserve"> broad and all-encompassing data</w:t>
      </w:r>
      <w:r>
        <w:rPr>
          <w:rFonts w:cstheme="minorHAnsi"/>
        </w:rPr>
        <w:t xml:space="preserve"> without the necessary safeguards jeopardizes press freedom and undermines editorial secrecy</w:t>
      </w:r>
      <w:r w:rsidRPr="001833D9">
        <w:rPr>
          <w:rFonts w:cstheme="minorHAnsi"/>
        </w:rPr>
        <w:t xml:space="preserve">. </w:t>
      </w:r>
      <w:r>
        <w:rPr>
          <w:rFonts w:cstheme="minorHAnsi"/>
        </w:rPr>
        <w:t>In addition, the lack of protection</w:t>
      </w:r>
      <w:r w:rsidRPr="001833D9">
        <w:rPr>
          <w:rFonts w:cstheme="minorHAnsi"/>
        </w:rPr>
        <w:t xml:space="preserve"> </w:t>
      </w:r>
      <w:r>
        <w:rPr>
          <w:rFonts w:cstheme="minorHAnsi"/>
        </w:rPr>
        <w:t>w</w:t>
      </w:r>
      <w:r w:rsidRPr="001833D9">
        <w:rPr>
          <w:rFonts w:cstheme="minorHAnsi"/>
        </w:rPr>
        <w:t xml:space="preserve">ould not only have </w:t>
      </w:r>
      <w:r w:rsidRPr="00650313">
        <w:rPr>
          <w:rFonts w:cstheme="minorHAnsi"/>
          <w:b/>
        </w:rPr>
        <w:t>severe damaging effects</w:t>
      </w:r>
      <w:r w:rsidRPr="001833D9">
        <w:rPr>
          <w:rFonts w:cstheme="minorHAnsi"/>
        </w:rPr>
        <w:t xml:space="preserve"> </w:t>
      </w:r>
      <w:r w:rsidRPr="00650313">
        <w:rPr>
          <w:rFonts w:cstheme="minorHAnsi"/>
          <w:b/>
        </w:rPr>
        <w:t>for journalists</w:t>
      </w:r>
      <w:r w:rsidRPr="001833D9">
        <w:rPr>
          <w:rFonts w:cstheme="minorHAnsi"/>
        </w:rPr>
        <w:t>,</w:t>
      </w:r>
      <w:r>
        <w:rPr>
          <w:rFonts w:cstheme="minorHAnsi"/>
        </w:rPr>
        <w:t xml:space="preserve"> but</w:t>
      </w:r>
      <w:r w:rsidRPr="001833D9">
        <w:rPr>
          <w:rFonts w:cstheme="minorHAnsi"/>
        </w:rPr>
        <w:t xml:space="preserve"> it could </w:t>
      </w:r>
      <w:r>
        <w:rPr>
          <w:rFonts w:cstheme="minorHAnsi"/>
        </w:rPr>
        <w:t>also</w:t>
      </w:r>
      <w:r w:rsidRPr="001833D9">
        <w:rPr>
          <w:rFonts w:cstheme="minorHAnsi"/>
        </w:rPr>
        <w:t xml:space="preserve"> lead to </w:t>
      </w:r>
      <w:r w:rsidRPr="003D0B10">
        <w:rPr>
          <w:rFonts w:cstheme="minorHAnsi"/>
          <w:b/>
        </w:rPr>
        <w:t xml:space="preserve">chilling </w:t>
      </w:r>
      <w:r>
        <w:rPr>
          <w:rFonts w:cstheme="minorHAnsi"/>
          <w:b/>
        </w:rPr>
        <w:t>effects</w:t>
      </w:r>
      <w:r w:rsidRPr="003D0B10">
        <w:rPr>
          <w:rFonts w:cstheme="minorHAnsi"/>
          <w:b/>
        </w:rPr>
        <w:t xml:space="preserve"> </w:t>
      </w:r>
      <w:r w:rsidRPr="001833D9">
        <w:rPr>
          <w:rFonts w:cstheme="minorHAnsi"/>
        </w:rPr>
        <w:t xml:space="preserve">for future </w:t>
      </w:r>
      <w:r w:rsidRPr="003D0B10">
        <w:rPr>
          <w:rFonts w:cstheme="minorHAnsi"/>
          <w:b/>
        </w:rPr>
        <w:t>informants</w:t>
      </w:r>
      <w:r w:rsidRPr="001833D9">
        <w:rPr>
          <w:rFonts w:cstheme="minorHAnsi"/>
        </w:rPr>
        <w:t xml:space="preserve"> or </w:t>
      </w:r>
      <w:proofErr w:type="spellStart"/>
      <w:r w:rsidRPr="003D0B10">
        <w:rPr>
          <w:rFonts w:cstheme="minorHAnsi"/>
          <w:b/>
        </w:rPr>
        <w:t>whistleblowers</w:t>
      </w:r>
      <w:proofErr w:type="spellEnd"/>
      <w:r w:rsidRPr="00287BFA">
        <w:rPr>
          <w:rFonts w:cstheme="minorHAnsi"/>
        </w:rPr>
        <w:t>,</w:t>
      </w:r>
      <w:r w:rsidRPr="003D0B10">
        <w:rPr>
          <w:rFonts w:cstheme="minorHAnsi"/>
          <w:b/>
        </w:rPr>
        <w:t xml:space="preserve"> </w:t>
      </w:r>
      <w:r w:rsidRPr="001833D9">
        <w:rPr>
          <w:rFonts w:cstheme="minorHAnsi"/>
        </w:rPr>
        <w:t>hamper</w:t>
      </w:r>
      <w:r>
        <w:rPr>
          <w:rFonts w:cstheme="minorHAnsi"/>
        </w:rPr>
        <w:t>ing</w:t>
      </w:r>
      <w:r w:rsidRPr="001833D9">
        <w:rPr>
          <w:rFonts w:cstheme="minorHAnsi"/>
        </w:rPr>
        <w:t xml:space="preserve"> investigative journalism and press </w:t>
      </w:r>
      <w:r>
        <w:rPr>
          <w:rFonts w:cstheme="minorHAnsi"/>
        </w:rPr>
        <w:t>freedom</w:t>
      </w:r>
      <w:r w:rsidRPr="001833D9">
        <w:rPr>
          <w:rFonts w:cstheme="minorHAnsi"/>
        </w:rPr>
        <w:t xml:space="preserve"> in general</w:t>
      </w:r>
      <w:r w:rsidR="00287785">
        <w:rPr>
          <w:rStyle w:val="FootnoteReference"/>
          <w:rFonts w:cstheme="minorHAnsi"/>
        </w:rPr>
        <w:footnoteReference w:id="1"/>
      </w:r>
      <w:r w:rsidRPr="001833D9">
        <w:rPr>
          <w:rFonts w:cstheme="minorHAnsi"/>
        </w:rPr>
        <w:t>.</w:t>
      </w:r>
    </w:p>
    <w:p w14:paraId="4FF1D64D" w14:textId="77777777" w:rsidR="000631B7" w:rsidRDefault="000631B7" w:rsidP="000631B7">
      <w:pPr>
        <w:spacing w:before="100" w:beforeAutospacing="1" w:after="100" w:afterAutospacing="1"/>
        <w:contextualSpacing/>
        <w:jc w:val="both"/>
        <w:rPr>
          <w:rFonts w:cstheme="minorHAnsi"/>
        </w:rPr>
      </w:pPr>
    </w:p>
    <w:p w14:paraId="0BB71BF9" w14:textId="77777777" w:rsidR="000631B7" w:rsidRPr="001833D9" w:rsidRDefault="000631B7" w:rsidP="000631B7">
      <w:pPr>
        <w:spacing w:before="100" w:beforeAutospacing="1" w:after="100" w:afterAutospacing="1"/>
        <w:contextualSpacing/>
        <w:jc w:val="both"/>
        <w:rPr>
          <w:rFonts w:cstheme="minorHAnsi"/>
        </w:rPr>
      </w:pPr>
      <w:r>
        <w:rPr>
          <w:rFonts w:cstheme="minorHAnsi"/>
        </w:rPr>
        <w:t>Furthermore,</w:t>
      </w:r>
      <w:r w:rsidRPr="001833D9">
        <w:rPr>
          <w:rFonts w:cstheme="minorHAnsi"/>
        </w:rPr>
        <w:t xml:space="preserve"> the proposed Regulation </w:t>
      </w:r>
      <w:r w:rsidRPr="00650313">
        <w:rPr>
          <w:rFonts w:cstheme="minorHAnsi"/>
          <w:b/>
        </w:rPr>
        <w:t xml:space="preserve">does not include an executing </w:t>
      </w:r>
      <w:r>
        <w:rPr>
          <w:rFonts w:cstheme="minorHAnsi"/>
          <w:b/>
        </w:rPr>
        <w:t>M</w:t>
      </w:r>
      <w:r w:rsidRPr="00650313">
        <w:rPr>
          <w:rFonts w:cstheme="minorHAnsi"/>
          <w:b/>
        </w:rPr>
        <w:t xml:space="preserve">ember </w:t>
      </w:r>
      <w:r>
        <w:rPr>
          <w:rFonts w:cstheme="minorHAnsi"/>
          <w:b/>
        </w:rPr>
        <w:t>S</w:t>
      </w:r>
      <w:r w:rsidRPr="00650313">
        <w:rPr>
          <w:rFonts w:cstheme="minorHAnsi"/>
          <w:b/>
        </w:rPr>
        <w:t>tate in the procedural steps</w:t>
      </w:r>
      <w:r>
        <w:rPr>
          <w:rFonts w:cstheme="minorHAnsi"/>
        </w:rPr>
        <w:t>. Therefore, t</w:t>
      </w:r>
      <w:r w:rsidRPr="001833D9">
        <w:rPr>
          <w:rFonts w:cstheme="minorHAnsi"/>
        </w:rPr>
        <w:t xml:space="preserve">he </w:t>
      </w:r>
      <w:r w:rsidRPr="00D315FB">
        <w:rPr>
          <w:rFonts w:cstheme="minorHAnsi"/>
        </w:rPr>
        <w:t>service provider w</w:t>
      </w:r>
      <w:r>
        <w:rPr>
          <w:rFonts w:cstheme="minorHAnsi"/>
        </w:rPr>
        <w:t>ould</w:t>
      </w:r>
      <w:r w:rsidRPr="00D315FB">
        <w:rPr>
          <w:rFonts w:cstheme="minorHAnsi"/>
        </w:rPr>
        <w:t xml:space="preserve"> be addressed</w:t>
      </w:r>
      <w:r w:rsidRPr="001833D9">
        <w:rPr>
          <w:rFonts w:cstheme="minorHAnsi"/>
        </w:rPr>
        <w:t xml:space="preserve"> </w:t>
      </w:r>
      <w:r w:rsidRPr="00D315FB">
        <w:rPr>
          <w:rFonts w:cstheme="minorHAnsi"/>
        </w:rPr>
        <w:t xml:space="preserve">directly </w:t>
      </w:r>
      <w:r>
        <w:rPr>
          <w:rFonts w:cstheme="minorHAnsi"/>
        </w:rPr>
        <w:t>by the issuing authority. The service provider would be</w:t>
      </w:r>
      <w:r w:rsidRPr="001833D9">
        <w:rPr>
          <w:rFonts w:cstheme="minorHAnsi"/>
        </w:rPr>
        <w:t xml:space="preserve"> responsible to produce or preserve the requested data under significant time pressure, i.e. within 10 days of </w:t>
      </w:r>
      <w:r>
        <w:rPr>
          <w:rFonts w:cstheme="minorHAnsi"/>
        </w:rPr>
        <w:t xml:space="preserve">the </w:t>
      </w:r>
      <w:r w:rsidRPr="001833D9">
        <w:rPr>
          <w:rFonts w:cstheme="minorHAnsi"/>
        </w:rPr>
        <w:t xml:space="preserve">receipt of the order, or within 6 hours in emergency cases. It is </w:t>
      </w:r>
      <w:r>
        <w:rPr>
          <w:rFonts w:cstheme="minorHAnsi"/>
        </w:rPr>
        <w:t xml:space="preserve">very probable </w:t>
      </w:r>
      <w:r w:rsidRPr="001833D9">
        <w:rPr>
          <w:rFonts w:cstheme="minorHAnsi"/>
        </w:rPr>
        <w:t xml:space="preserve">that considering the </w:t>
      </w:r>
      <w:r>
        <w:rPr>
          <w:rFonts w:cstheme="minorHAnsi"/>
        </w:rPr>
        <w:t>tight deadline</w:t>
      </w:r>
      <w:r w:rsidRPr="001833D9">
        <w:rPr>
          <w:rFonts w:cstheme="minorHAnsi"/>
        </w:rPr>
        <w:t>, a service provider w</w:t>
      </w:r>
      <w:r>
        <w:rPr>
          <w:rFonts w:cstheme="minorHAnsi"/>
        </w:rPr>
        <w:t>ould</w:t>
      </w:r>
      <w:r w:rsidRPr="001833D9">
        <w:rPr>
          <w:rFonts w:cstheme="minorHAnsi"/>
        </w:rPr>
        <w:t xml:space="preserve"> </w:t>
      </w:r>
      <w:r>
        <w:rPr>
          <w:rFonts w:cstheme="minorHAnsi"/>
        </w:rPr>
        <w:t xml:space="preserve">most likely </w:t>
      </w:r>
      <w:r w:rsidRPr="001833D9">
        <w:rPr>
          <w:rFonts w:cstheme="minorHAnsi"/>
        </w:rPr>
        <w:t xml:space="preserve">abstain from making use of </w:t>
      </w:r>
      <w:r>
        <w:rPr>
          <w:rFonts w:cstheme="minorHAnsi"/>
        </w:rPr>
        <w:t>the</w:t>
      </w:r>
      <w:r w:rsidRPr="001833D9">
        <w:rPr>
          <w:rFonts w:cstheme="minorHAnsi"/>
        </w:rPr>
        <w:t xml:space="preserve"> (limited) remedies </w:t>
      </w:r>
      <w:r>
        <w:rPr>
          <w:rFonts w:cstheme="minorHAnsi"/>
        </w:rPr>
        <w:t>provided for in</w:t>
      </w:r>
      <w:r w:rsidRPr="001833D9">
        <w:rPr>
          <w:rFonts w:cstheme="minorHAnsi"/>
        </w:rPr>
        <w:t xml:space="preserve"> article 15 in the issuing member state – a foreign and unknown jurisdiction </w:t>
      </w:r>
      <w:r>
        <w:rPr>
          <w:rFonts w:cstheme="minorHAnsi"/>
        </w:rPr>
        <w:t>to</w:t>
      </w:r>
      <w:r w:rsidRPr="001833D9">
        <w:rPr>
          <w:rFonts w:cstheme="minorHAnsi"/>
        </w:rPr>
        <w:t xml:space="preserve"> the service provider.</w:t>
      </w:r>
    </w:p>
    <w:p w14:paraId="0AB8C453" w14:textId="77777777" w:rsidR="000631B7" w:rsidRPr="001833D9" w:rsidRDefault="000631B7" w:rsidP="000631B7">
      <w:pPr>
        <w:spacing w:before="100" w:beforeAutospacing="1" w:after="100" w:afterAutospacing="1"/>
        <w:contextualSpacing/>
        <w:jc w:val="both"/>
        <w:rPr>
          <w:rFonts w:cstheme="minorHAnsi"/>
        </w:rPr>
      </w:pPr>
      <w:r w:rsidRPr="001833D9">
        <w:rPr>
          <w:rFonts w:cstheme="minorHAnsi"/>
        </w:rPr>
        <w:t xml:space="preserve"> </w:t>
      </w:r>
    </w:p>
    <w:p w14:paraId="6D5065B6" w14:textId="77777777" w:rsidR="000631B7" w:rsidRPr="001833D9" w:rsidRDefault="000631B7" w:rsidP="000631B7">
      <w:pPr>
        <w:spacing w:before="100" w:beforeAutospacing="1" w:after="100" w:afterAutospacing="1"/>
        <w:contextualSpacing/>
        <w:jc w:val="both"/>
        <w:rPr>
          <w:rFonts w:cstheme="minorHAnsi"/>
        </w:rPr>
      </w:pPr>
      <w:r>
        <w:rPr>
          <w:rFonts w:cstheme="minorHAnsi"/>
        </w:rPr>
        <w:t>While t</w:t>
      </w:r>
      <w:r w:rsidRPr="001833D9">
        <w:rPr>
          <w:rFonts w:cstheme="minorHAnsi"/>
        </w:rPr>
        <w:t xml:space="preserve">he draft </w:t>
      </w:r>
      <w:r>
        <w:rPr>
          <w:rFonts w:cstheme="minorHAnsi"/>
        </w:rPr>
        <w:t>R</w:t>
      </w:r>
      <w:r w:rsidRPr="001833D9">
        <w:rPr>
          <w:rFonts w:cstheme="minorHAnsi"/>
        </w:rPr>
        <w:t xml:space="preserve">egulation includes some general safeguards with </w:t>
      </w:r>
      <w:r>
        <w:rPr>
          <w:rFonts w:cstheme="minorHAnsi"/>
        </w:rPr>
        <w:t>regard to fundamental rights, immunities and privileges</w:t>
      </w:r>
      <w:r w:rsidRPr="001833D9">
        <w:rPr>
          <w:rFonts w:cstheme="minorHAnsi"/>
        </w:rPr>
        <w:t xml:space="preserve">, these </w:t>
      </w:r>
      <w:r>
        <w:rPr>
          <w:rFonts w:cstheme="minorHAnsi"/>
        </w:rPr>
        <w:t xml:space="preserve">general </w:t>
      </w:r>
      <w:r w:rsidRPr="001833D9">
        <w:rPr>
          <w:rFonts w:cstheme="minorHAnsi"/>
        </w:rPr>
        <w:t xml:space="preserve">safeguards are </w:t>
      </w:r>
      <w:r>
        <w:rPr>
          <w:rFonts w:cstheme="minorHAnsi"/>
        </w:rPr>
        <w:t>not sufficient and suited</w:t>
      </w:r>
      <w:r w:rsidRPr="001833D9">
        <w:rPr>
          <w:rFonts w:cstheme="minorHAnsi"/>
        </w:rPr>
        <w:t xml:space="preserve"> to </w:t>
      </w:r>
      <w:r w:rsidRPr="00E03D17">
        <w:rPr>
          <w:rFonts w:cstheme="minorHAnsi"/>
          <w:b/>
        </w:rPr>
        <w:t>protect media freedom</w:t>
      </w:r>
      <w:r w:rsidRPr="001833D9">
        <w:rPr>
          <w:rFonts w:cstheme="minorHAnsi"/>
        </w:rPr>
        <w:t xml:space="preserve"> and</w:t>
      </w:r>
      <w:r>
        <w:rPr>
          <w:rFonts w:cstheme="minorHAnsi"/>
        </w:rPr>
        <w:t xml:space="preserve"> the </w:t>
      </w:r>
      <w:r w:rsidRPr="001833D9">
        <w:rPr>
          <w:rFonts w:cstheme="minorHAnsi"/>
          <w:b/>
          <w:bCs/>
        </w:rPr>
        <w:t>protection of sources</w:t>
      </w:r>
      <w:r>
        <w:rPr>
          <w:rFonts w:cstheme="minorHAnsi"/>
          <w:b/>
          <w:bCs/>
        </w:rPr>
        <w:t xml:space="preserve"> and informants</w:t>
      </w:r>
      <w:r>
        <w:rPr>
          <w:rFonts w:cstheme="minorHAnsi"/>
        </w:rPr>
        <w:t xml:space="preserve"> – an </w:t>
      </w:r>
      <w:r w:rsidRPr="001833D9">
        <w:rPr>
          <w:rFonts w:cstheme="minorHAnsi"/>
        </w:rPr>
        <w:t xml:space="preserve">essential </w:t>
      </w:r>
      <w:r>
        <w:rPr>
          <w:rFonts w:cstheme="minorHAnsi"/>
        </w:rPr>
        <w:t xml:space="preserve">precondition </w:t>
      </w:r>
      <w:r w:rsidRPr="001833D9">
        <w:rPr>
          <w:rFonts w:cstheme="minorHAnsi"/>
        </w:rPr>
        <w:t xml:space="preserve">for </w:t>
      </w:r>
      <w:r>
        <w:rPr>
          <w:rFonts w:cstheme="minorHAnsi"/>
        </w:rPr>
        <w:t xml:space="preserve">independent and </w:t>
      </w:r>
      <w:r w:rsidRPr="001833D9">
        <w:rPr>
          <w:rFonts w:cstheme="minorHAnsi"/>
        </w:rPr>
        <w:t>investigative reporting.</w:t>
      </w:r>
      <w:r>
        <w:rPr>
          <w:rFonts w:cstheme="minorHAnsi"/>
        </w:rPr>
        <w:t xml:space="preserve"> </w:t>
      </w:r>
    </w:p>
    <w:p w14:paraId="405AF4D9" w14:textId="77777777" w:rsidR="000631B7" w:rsidRDefault="000631B7" w:rsidP="000631B7">
      <w:pPr>
        <w:spacing w:before="100" w:beforeAutospacing="1" w:after="100" w:afterAutospacing="1"/>
        <w:contextualSpacing/>
        <w:jc w:val="both"/>
        <w:rPr>
          <w:rFonts w:cstheme="minorHAnsi"/>
        </w:rPr>
      </w:pPr>
    </w:p>
    <w:p w14:paraId="7C6FFAE0" w14:textId="44EE2942" w:rsidR="000631B7" w:rsidRPr="001833D9" w:rsidRDefault="000631B7" w:rsidP="000631B7">
      <w:pPr>
        <w:spacing w:before="100" w:beforeAutospacing="1" w:after="100" w:afterAutospacing="1"/>
        <w:contextualSpacing/>
        <w:jc w:val="both"/>
        <w:rPr>
          <w:rFonts w:cstheme="minorHAnsi"/>
        </w:rPr>
      </w:pPr>
      <w:r w:rsidRPr="001833D9">
        <w:rPr>
          <w:rFonts w:cstheme="minorHAnsi"/>
        </w:rPr>
        <w:t xml:space="preserve">The </w:t>
      </w:r>
      <w:r w:rsidRPr="00650313">
        <w:rPr>
          <w:rFonts w:cstheme="minorHAnsi"/>
          <w:b/>
        </w:rPr>
        <w:t xml:space="preserve">lack of explicit safeguards for the </w:t>
      </w:r>
      <w:r w:rsidR="00A55D4B">
        <w:rPr>
          <w:rFonts w:cstheme="minorHAnsi"/>
          <w:b/>
        </w:rPr>
        <w:t>media</w:t>
      </w:r>
      <w:r w:rsidR="00A55D4B" w:rsidRPr="00650313">
        <w:rPr>
          <w:rFonts w:cstheme="minorHAnsi"/>
          <w:b/>
        </w:rPr>
        <w:t xml:space="preserve"> </w:t>
      </w:r>
      <w:r w:rsidRPr="00650313">
        <w:rPr>
          <w:rFonts w:cstheme="minorHAnsi"/>
          <w:b/>
        </w:rPr>
        <w:t>sector</w:t>
      </w:r>
      <w:r>
        <w:rPr>
          <w:rFonts w:cstheme="minorHAnsi"/>
        </w:rPr>
        <w:t xml:space="preserve"> and the weak legal remedies would </w:t>
      </w:r>
      <w:r w:rsidRPr="001833D9">
        <w:rPr>
          <w:rFonts w:cstheme="minorHAnsi"/>
        </w:rPr>
        <w:t xml:space="preserve">leave journalists and publishers </w:t>
      </w:r>
      <w:r w:rsidR="00A55D4B">
        <w:rPr>
          <w:rFonts w:cstheme="minorHAnsi"/>
        </w:rPr>
        <w:t xml:space="preserve">/ media </w:t>
      </w:r>
      <w:r>
        <w:rPr>
          <w:rFonts w:cstheme="minorHAnsi"/>
        </w:rPr>
        <w:t>unable</w:t>
      </w:r>
      <w:r w:rsidRPr="001833D9">
        <w:rPr>
          <w:rFonts w:cstheme="minorHAnsi"/>
        </w:rPr>
        <w:t xml:space="preserve"> </w:t>
      </w:r>
      <w:r>
        <w:rPr>
          <w:rFonts w:cstheme="minorHAnsi"/>
        </w:rPr>
        <w:t>to</w:t>
      </w:r>
      <w:r w:rsidRPr="001833D9">
        <w:rPr>
          <w:rFonts w:cstheme="minorHAnsi"/>
        </w:rPr>
        <w:t xml:space="preserve"> protect their sources, their editorial secrecy and potentially even their databases. In fact, for persons whose data w</w:t>
      </w:r>
      <w:r>
        <w:rPr>
          <w:rFonts w:cstheme="minorHAnsi"/>
        </w:rPr>
        <w:t>ere</w:t>
      </w:r>
      <w:r w:rsidRPr="001833D9">
        <w:rPr>
          <w:rFonts w:cstheme="minorHAnsi"/>
        </w:rPr>
        <w:t xml:space="preserve"> obtained and </w:t>
      </w:r>
      <w:r>
        <w:rPr>
          <w:rFonts w:cstheme="minorHAnsi"/>
        </w:rPr>
        <w:t>are</w:t>
      </w:r>
      <w:r w:rsidRPr="001833D9">
        <w:rPr>
          <w:rFonts w:cstheme="minorHAnsi"/>
        </w:rPr>
        <w:t xml:space="preserve"> not subject to prosecution or investigation, </w:t>
      </w:r>
      <w:r w:rsidRPr="003B2B7F">
        <w:rPr>
          <w:rFonts w:cstheme="minorHAnsi"/>
          <w:b/>
        </w:rPr>
        <w:t xml:space="preserve">the offered legal remedies </w:t>
      </w:r>
      <w:r w:rsidRPr="00287BFA">
        <w:rPr>
          <w:rFonts w:cstheme="minorHAnsi"/>
        </w:rPr>
        <w:t>(as provided for in article 17</w:t>
      </w:r>
      <w:r>
        <w:rPr>
          <w:rFonts w:cstheme="minorHAnsi"/>
        </w:rPr>
        <w:t>, for example)</w:t>
      </w:r>
      <w:r w:rsidRPr="003B2B7F">
        <w:rPr>
          <w:rFonts w:cstheme="minorHAnsi"/>
          <w:b/>
        </w:rPr>
        <w:t xml:space="preserve"> are blatantly insufficient </w:t>
      </w:r>
      <w:r>
        <w:rPr>
          <w:rFonts w:cstheme="minorHAnsi"/>
          <w:b/>
        </w:rPr>
        <w:t>to safeguard</w:t>
      </w:r>
      <w:r w:rsidRPr="003B2B7F">
        <w:rPr>
          <w:rFonts w:cstheme="minorHAnsi"/>
          <w:b/>
        </w:rPr>
        <w:t xml:space="preserve"> </w:t>
      </w:r>
      <w:r>
        <w:rPr>
          <w:rFonts w:cstheme="minorHAnsi"/>
          <w:b/>
        </w:rPr>
        <w:t xml:space="preserve">the protection of a </w:t>
      </w:r>
      <w:r w:rsidRPr="003B2B7F">
        <w:rPr>
          <w:rFonts w:cstheme="minorHAnsi"/>
          <w:b/>
        </w:rPr>
        <w:t>free and independent press</w:t>
      </w:r>
      <w:r w:rsidR="00A55D4B">
        <w:rPr>
          <w:rFonts w:cstheme="minorHAnsi"/>
          <w:b/>
        </w:rPr>
        <w:t xml:space="preserve"> and media in Europe</w:t>
      </w:r>
      <w:r w:rsidRPr="001833D9">
        <w:rPr>
          <w:rFonts w:cstheme="minorHAnsi"/>
        </w:rPr>
        <w:t xml:space="preserve">. </w:t>
      </w:r>
      <w:r>
        <w:rPr>
          <w:rFonts w:cstheme="minorHAnsi"/>
        </w:rPr>
        <w:t>This because firstly</w:t>
      </w:r>
      <w:r w:rsidRPr="001833D9">
        <w:rPr>
          <w:rFonts w:cstheme="minorHAnsi"/>
        </w:rPr>
        <w:t xml:space="preserve">, it </w:t>
      </w:r>
      <w:r>
        <w:rPr>
          <w:rFonts w:cstheme="minorHAnsi"/>
        </w:rPr>
        <w:t xml:space="preserve">only </w:t>
      </w:r>
      <w:r w:rsidRPr="001833D9">
        <w:rPr>
          <w:rFonts w:cstheme="minorHAnsi"/>
        </w:rPr>
        <w:t xml:space="preserve">provides </w:t>
      </w:r>
      <w:r w:rsidRPr="00E75FF5">
        <w:rPr>
          <w:rFonts w:cstheme="minorHAnsi"/>
          <w:b/>
        </w:rPr>
        <w:t>an ex post</w:t>
      </w:r>
      <w:r w:rsidRPr="001833D9">
        <w:rPr>
          <w:rFonts w:cstheme="minorHAnsi"/>
        </w:rPr>
        <w:t xml:space="preserve"> possibility to challenge the production or preservation order. </w:t>
      </w:r>
      <w:r>
        <w:rPr>
          <w:rFonts w:cstheme="minorHAnsi"/>
        </w:rPr>
        <w:t>This means that</w:t>
      </w:r>
      <w:r w:rsidRPr="001833D9">
        <w:rPr>
          <w:rFonts w:cstheme="minorHAnsi"/>
        </w:rPr>
        <w:t xml:space="preserve"> the </w:t>
      </w:r>
      <w:r>
        <w:rPr>
          <w:rFonts w:cstheme="minorHAnsi"/>
        </w:rPr>
        <w:t xml:space="preserve">possibly </w:t>
      </w:r>
      <w:r w:rsidRPr="001833D9">
        <w:rPr>
          <w:rFonts w:cstheme="minorHAnsi"/>
        </w:rPr>
        <w:t>sensitive data has already been issued and the potential damage</w:t>
      </w:r>
      <w:r>
        <w:rPr>
          <w:rFonts w:cstheme="minorHAnsi"/>
        </w:rPr>
        <w:t xml:space="preserve"> is</w:t>
      </w:r>
      <w:r w:rsidRPr="001833D9">
        <w:rPr>
          <w:rFonts w:cstheme="minorHAnsi"/>
        </w:rPr>
        <w:t xml:space="preserve"> already done. Secondly, </w:t>
      </w:r>
      <w:r>
        <w:rPr>
          <w:rFonts w:cstheme="minorHAnsi"/>
        </w:rPr>
        <w:t>a possible complaint against a production or preservation order</w:t>
      </w:r>
      <w:r w:rsidRPr="001833D9">
        <w:rPr>
          <w:rFonts w:cstheme="minorHAnsi"/>
        </w:rPr>
        <w:t xml:space="preserve"> must be filed in the issuing </w:t>
      </w:r>
      <w:r>
        <w:rPr>
          <w:rFonts w:cstheme="minorHAnsi"/>
        </w:rPr>
        <w:t>M</w:t>
      </w:r>
      <w:r w:rsidRPr="001833D9">
        <w:rPr>
          <w:rFonts w:cstheme="minorHAnsi"/>
        </w:rPr>
        <w:t xml:space="preserve">ember </w:t>
      </w:r>
      <w:r>
        <w:rPr>
          <w:rFonts w:cstheme="minorHAnsi"/>
        </w:rPr>
        <w:t>S</w:t>
      </w:r>
      <w:r w:rsidRPr="001833D9">
        <w:rPr>
          <w:rFonts w:cstheme="minorHAnsi"/>
        </w:rPr>
        <w:t xml:space="preserve">tate, which poses </w:t>
      </w:r>
      <w:r w:rsidRPr="007F228E">
        <w:rPr>
          <w:rFonts w:cstheme="minorHAnsi"/>
          <w:b/>
        </w:rPr>
        <w:t>logistic, bureaucratic</w:t>
      </w:r>
      <w:r w:rsidRPr="007F228E">
        <w:rPr>
          <w:b/>
          <w:bCs/>
        </w:rPr>
        <w:t xml:space="preserve"> </w:t>
      </w:r>
      <w:r w:rsidRPr="007F228E">
        <w:rPr>
          <w:rFonts w:cstheme="minorHAnsi"/>
          <w:b/>
        </w:rPr>
        <w:t>and legal challenges</w:t>
      </w:r>
      <w:r w:rsidRPr="001833D9">
        <w:rPr>
          <w:rFonts w:cstheme="minorHAnsi"/>
        </w:rPr>
        <w:t xml:space="preserve"> for journalists and publishers, especially smaller ones with limited resources. </w:t>
      </w:r>
    </w:p>
    <w:p w14:paraId="6EF85F9B" w14:textId="77777777" w:rsidR="000631B7" w:rsidRPr="001833D9" w:rsidRDefault="000631B7" w:rsidP="000631B7">
      <w:pPr>
        <w:spacing w:before="100" w:beforeAutospacing="1" w:after="100" w:afterAutospacing="1"/>
        <w:contextualSpacing/>
        <w:jc w:val="both"/>
        <w:rPr>
          <w:rFonts w:cstheme="minorHAnsi"/>
        </w:rPr>
      </w:pPr>
      <w:r w:rsidRPr="001833D9">
        <w:rPr>
          <w:rFonts w:cstheme="minorHAnsi"/>
        </w:rPr>
        <w:t xml:space="preserve"> </w:t>
      </w:r>
    </w:p>
    <w:p w14:paraId="49789D71" w14:textId="5D2F788D" w:rsidR="000631B7" w:rsidRPr="001833D9" w:rsidRDefault="000631B7" w:rsidP="000631B7">
      <w:pPr>
        <w:spacing w:before="100" w:beforeAutospacing="1" w:after="100" w:afterAutospacing="1"/>
        <w:contextualSpacing/>
        <w:jc w:val="both"/>
        <w:rPr>
          <w:rFonts w:cstheme="minorHAnsi"/>
        </w:rPr>
      </w:pPr>
      <w:r w:rsidRPr="001833D9">
        <w:rPr>
          <w:rFonts w:cstheme="minorHAnsi"/>
        </w:rPr>
        <w:t xml:space="preserve">Against this backdrop, European </w:t>
      </w:r>
      <w:r w:rsidR="00A55D4B">
        <w:rPr>
          <w:rFonts w:cstheme="minorHAnsi"/>
        </w:rPr>
        <w:t>media outlets</w:t>
      </w:r>
      <w:r w:rsidRPr="001833D9">
        <w:rPr>
          <w:rFonts w:cstheme="minorHAnsi"/>
        </w:rPr>
        <w:t xml:space="preserve"> and journalists </w:t>
      </w:r>
      <w:r w:rsidRPr="00E03D17">
        <w:rPr>
          <w:rFonts w:cstheme="minorHAnsi"/>
          <w:b/>
        </w:rPr>
        <w:t xml:space="preserve">call on European decision makers to protect the European </w:t>
      </w:r>
      <w:r w:rsidR="00A55D4B">
        <w:rPr>
          <w:rFonts w:cstheme="minorHAnsi"/>
          <w:b/>
        </w:rPr>
        <w:t>media</w:t>
      </w:r>
      <w:r w:rsidR="00A55D4B" w:rsidRPr="00E03D17">
        <w:rPr>
          <w:rFonts w:cstheme="minorHAnsi"/>
          <w:b/>
        </w:rPr>
        <w:t xml:space="preserve"> </w:t>
      </w:r>
      <w:r w:rsidRPr="00E03D17">
        <w:rPr>
          <w:rFonts w:cstheme="minorHAnsi"/>
          <w:b/>
        </w:rPr>
        <w:t xml:space="preserve">sector </w:t>
      </w:r>
      <w:r>
        <w:rPr>
          <w:rFonts w:cstheme="minorHAnsi"/>
          <w:b/>
        </w:rPr>
        <w:t xml:space="preserve">and its contribution to democratic societies. </w:t>
      </w:r>
      <w:r>
        <w:rPr>
          <w:rFonts w:cstheme="minorHAnsi"/>
        </w:rPr>
        <w:t>It would be dramatic if</w:t>
      </w:r>
      <w:r w:rsidRPr="001833D9">
        <w:rPr>
          <w:rFonts w:cstheme="minorHAnsi"/>
        </w:rPr>
        <w:t xml:space="preserve"> the lack of </w:t>
      </w:r>
      <w:r>
        <w:rPr>
          <w:rFonts w:cstheme="minorHAnsi"/>
        </w:rPr>
        <w:t xml:space="preserve">specific </w:t>
      </w:r>
      <w:r w:rsidRPr="001833D9">
        <w:rPr>
          <w:rFonts w:cstheme="minorHAnsi"/>
        </w:rPr>
        <w:t xml:space="preserve">safeguards </w:t>
      </w:r>
      <w:r>
        <w:rPr>
          <w:rFonts w:cstheme="minorHAnsi"/>
        </w:rPr>
        <w:t>would result in</w:t>
      </w:r>
      <w:r w:rsidRPr="001833D9">
        <w:rPr>
          <w:rFonts w:cstheme="minorHAnsi"/>
        </w:rPr>
        <w:t xml:space="preserve"> collateral damage </w:t>
      </w:r>
      <w:r>
        <w:rPr>
          <w:rFonts w:cstheme="minorHAnsi"/>
        </w:rPr>
        <w:t>and jeopardize journalists and informants alike.</w:t>
      </w:r>
      <w:r w:rsidRPr="001833D9">
        <w:rPr>
          <w:rFonts w:cstheme="minorHAnsi"/>
        </w:rPr>
        <w:t xml:space="preserve"> We </w:t>
      </w:r>
      <w:r>
        <w:rPr>
          <w:rFonts w:cstheme="minorHAnsi"/>
        </w:rPr>
        <w:t xml:space="preserve">therefore </w:t>
      </w:r>
      <w:r w:rsidRPr="001833D9">
        <w:rPr>
          <w:rFonts w:cstheme="minorHAnsi"/>
        </w:rPr>
        <w:t xml:space="preserve">urge the decision makers to include </w:t>
      </w:r>
      <w:r w:rsidRPr="00456EE5">
        <w:rPr>
          <w:rFonts w:cstheme="minorHAnsi"/>
          <w:b/>
        </w:rPr>
        <w:t>specific safety measures</w:t>
      </w:r>
      <w:r w:rsidRPr="001833D9">
        <w:rPr>
          <w:rFonts w:cstheme="minorHAnsi"/>
        </w:rPr>
        <w:t xml:space="preserve"> that provide sufficient</w:t>
      </w:r>
      <w:r>
        <w:rPr>
          <w:rFonts w:cstheme="minorHAnsi"/>
        </w:rPr>
        <w:t xml:space="preserve"> and clear</w:t>
      </w:r>
      <w:r w:rsidRPr="001833D9">
        <w:rPr>
          <w:rFonts w:cstheme="minorHAnsi"/>
        </w:rPr>
        <w:t xml:space="preserve"> protection for sources,</w:t>
      </w:r>
      <w:r>
        <w:rPr>
          <w:rFonts w:cstheme="minorHAnsi"/>
        </w:rPr>
        <w:t xml:space="preserve"> for the work of</w:t>
      </w:r>
      <w:r w:rsidRPr="001833D9">
        <w:rPr>
          <w:rFonts w:cstheme="minorHAnsi"/>
        </w:rPr>
        <w:t xml:space="preserve"> journalist</w:t>
      </w:r>
      <w:r>
        <w:rPr>
          <w:rFonts w:cstheme="minorHAnsi"/>
        </w:rPr>
        <w:t>s</w:t>
      </w:r>
      <w:r w:rsidRPr="001833D9">
        <w:rPr>
          <w:rFonts w:cstheme="minorHAnsi"/>
        </w:rPr>
        <w:t xml:space="preserve"> as well as</w:t>
      </w:r>
      <w:r>
        <w:rPr>
          <w:rFonts w:cstheme="minorHAnsi"/>
        </w:rPr>
        <w:t xml:space="preserve"> for</w:t>
      </w:r>
      <w:r w:rsidRPr="001833D9">
        <w:rPr>
          <w:rFonts w:cstheme="minorHAnsi"/>
        </w:rPr>
        <w:t xml:space="preserve"> editorial secrecy.  </w:t>
      </w:r>
    </w:p>
    <w:p w14:paraId="333CD3B0" w14:textId="77777777" w:rsidR="000631B7" w:rsidRDefault="000631B7" w:rsidP="000631B7">
      <w:pPr>
        <w:spacing w:before="100" w:beforeAutospacing="1" w:after="100" w:afterAutospacing="1"/>
        <w:contextualSpacing/>
        <w:jc w:val="both"/>
        <w:rPr>
          <w:rFonts w:cstheme="minorHAnsi"/>
        </w:rPr>
      </w:pPr>
    </w:p>
    <w:p w14:paraId="3F91E666" w14:textId="77777777" w:rsidR="000631B7" w:rsidRDefault="000631B7" w:rsidP="000631B7">
      <w:pPr>
        <w:spacing w:before="100" w:beforeAutospacing="1" w:after="100" w:afterAutospacing="1"/>
        <w:contextualSpacing/>
        <w:jc w:val="both"/>
        <w:rPr>
          <w:rFonts w:cstheme="minorHAnsi"/>
        </w:rPr>
      </w:pPr>
    </w:p>
    <w:p w14:paraId="5B409A44" w14:textId="77777777" w:rsidR="006465A3" w:rsidRDefault="006465A3" w:rsidP="000631B7">
      <w:pPr>
        <w:spacing w:before="100" w:beforeAutospacing="1" w:after="100" w:afterAutospacing="1"/>
        <w:contextualSpacing/>
        <w:jc w:val="both"/>
        <w:rPr>
          <w:rFonts w:cstheme="minorHAnsi"/>
          <w:b/>
        </w:rPr>
      </w:pPr>
    </w:p>
    <w:p w14:paraId="586AF9EB" w14:textId="77777777" w:rsidR="00441704" w:rsidRDefault="00441704">
      <w:pPr>
        <w:rPr>
          <w:rFonts w:cstheme="minorHAnsi"/>
          <w:b/>
        </w:rPr>
      </w:pPr>
    </w:p>
    <w:p w14:paraId="4D5BFAD6" w14:textId="111AF5B0" w:rsidR="000631B7" w:rsidRPr="00860E57" w:rsidRDefault="00441704" w:rsidP="00860E57">
      <w:pPr>
        <w:rPr>
          <w:rFonts w:cstheme="minorHAnsi"/>
          <w:b/>
        </w:rPr>
      </w:pPr>
      <w:r>
        <w:rPr>
          <w:rFonts w:cstheme="minorHAnsi"/>
          <w:b/>
        </w:rPr>
        <w:br w:type="page"/>
      </w:r>
      <w:r w:rsidR="000631B7" w:rsidRPr="00956514">
        <w:rPr>
          <w:rFonts w:cstheme="minorHAnsi"/>
          <w:b/>
        </w:rPr>
        <w:lastRenderedPageBreak/>
        <w:t xml:space="preserve">Suggested amendments to safeguard and protect </w:t>
      </w:r>
      <w:r w:rsidR="000631B7">
        <w:rPr>
          <w:rFonts w:cstheme="minorHAnsi"/>
          <w:b/>
        </w:rPr>
        <w:t xml:space="preserve">independent reporting </w:t>
      </w:r>
    </w:p>
    <w:p w14:paraId="5CB2CB37" w14:textId="77777777" w:rsidR="000631B7" w:rsidRPr="005D1133" w:rsidRDefault="000631B7" w:rsidP="000631B7">
      <w:pPr>
        <w:spacing w:before="100" w:beforeAutospacing="1" w:after="100" w:afterAutospacing="1"/>
        <w:contextualSpacing/>
        <w:jc w:val="both"/>
        <w:rPr>
          <w:rFonts w:cstheme="minorHAnsi"/>
        </w:rPr>
      </w:pPr>
    </w:p>
    <w:p w14:paraId="522AF743" w14:textId="77777777" w:rsidR="000631B7" w:rsidRDefault="000631B7" w:rsidP="000631B7">
      <w:pPr>
        <w:spacing w:before="100" w:beforeAutospacing="1" w:after="100" w:afterAutospacing="1"/>
        <w:contextualSpacing/>
        <w:jc w:val="both"/>
        <w:rPr>
          <w:rFonts w:cstheme="minorHAnsi"/>
          <w:b/>
          <w:bCs/>
        </w:rPr>
      </w:pPr>
      <w:r w:rsidRPr="001833D9">
        <w:rPr>
          <w:rFonts w:cstheme="minorHAnsi"/>
          <w:b/>
          <w:bCs/>
        </w:rPr>
        <w:t>Article 3 (Scope), paragraph 4 (new):</w:t>
      </w:r>
    </w:p>
    <w:p w14:paraId="555CAFF6" w14:textId="77777777" w:rsidR="000631B7" w:rsidRPr="001833D9" w:rsidRDefault="000631B7" w:rsidP="000631B7">
      <w:pPr>
        <w:spacing w:before="100" w:beforeAutospacing="1" w:after="100" w:afterAutospacing="1"/>
        <w:contextualSpacing/>
        <w:jc w:val="both"/>
        <w:rPr>
          <w:rFonts w:cstheme="minorHAnsi"/>
        </w:rPr>
      </w:pPr>
    </w:p>
    <w:p w14:paraId="5FD75C6A" w14:textId="77777777" w:rsidR="000631B7" w:rsidRPr="009811AD" w:rsidRDefault="000631B7" w:rsidP="000631B7">
      <w:pPr>
        <w:spacing w:before="100" w:beforeAutospacing="1" w:after="100" w:afterAutospacing="1"/>
        <w:ind w:right="283"/>
        <w:contextualSpacing/>
        <w:jc w:val="both"/>
        <w:rPr>
          <w:rFonts w:cstheme="minorHAnsi"/>
          <w:i/>
        </w:rPr>
      </w:pPr>
      <w:r w:rsidRPr="009811AD">
        <w:rPr>
          <w:rFonts w:cstheme="minorHAnsi"/>
          <w:i/>
        </w:rPr>
        <w:t xml:space="preserve">European Production Orders and European Preservation Orders shall not be issued to obtain data in the meaning of article </w:t>
      </w:r>
      <w:r>
        <w:rPr>
          <w:rFonts w:cstheme="minorHAnsi"/>
          <w:i/>
        </w:rPr>
        <w:t>2</w:t>
      </w:r>
      <w:r w:rsidRPr="009811AD">
        <w:rPr>
          <w:rFonts w:cstheme="minorHAnsi"/>
          <w:i/>
        </w:rPr>
        <w:t xml:space="preserve"> paragraph (7)-(10) in cases where the possessors of the data or their partners in communication are persons who professionally participate in the preparation, production and dissemination of press or media content for the information and opinion forming of the public, irrespective of the means of dissemination involved.</w:t>
      </w:r>
    </w:p>
    <w:p w14:paraId="6401257F" w14:textId="77777777" w:rsidR="000631B7" w:rsidRPr="001833D9" w:rsidRDefault="000631B7" w:rsidP="000631B7">
      <w:pPr>
        <w:spacing w:before="100" w:beforeAutospacing="1" w:after="100" w:afterAutospacing="1"/>
        <w:ind w:left="284" w:right="283"/>
        <w:contextualSpacing/>
        <w:jc w:val="both"/>
        <w:rPr>
          <w:rFonts w:cstheme="minorHAnsi"/>
        </w:rPr>
      </w:pPr>
    </w:p>
    <w:p w14:paraId="1B0874EC" w14:textId="77777777" w:rsidR="000631B7" w:rsidRDefault="000631B7" w:rsidP="000631B7">
      <w:pPr>
        <w:spacing w:before="100" w:beforeAutospacing="1" w:after="100" w:afterAutospacing="1"/>
        <w:contextualSpacing/>
        <w:jc w:val="both"/>
        <w:rPr>
          <w:rFonts w:cstheme="minorHAnsi"/>
          <w:b/>
          <w:bCs/>
        </w:rPr>
      </w:pPr>
      <w:r w:rsidRPr="001833D9">
        <w:rPr>
          <w:rFonts w:cstheme="minorHAnsi"/>
          <w:b/>
          <w:bCs/>
        </w:rPr>
        <w:t>Article 5 (Conditions for Issuing a European Production Order), paragraph 5 (</w:t>
      </w:r>
      <w:r>
        <w:rPr>
          <w:rFonts w:cstheme="minorHAnsi"/>
          <w:b/>
          <w:bCs/>
        </w:rPr>
        <w:t>j</w:t>
      </w:r>
      <w:r w:rsidRPr="001833D9">
        <w:rPr>
          <w:rFonts w:cstheme="minorHAnsi"/>
          <w:b/>
          <w:bCs/>
        </w:rPr>
        <w:t>) (new)</w:t>
      </w:r>
    </w:p>
    <w:p w14:paraId="2E7A37E9" w14:textId="77777777" w:rsidR="000631B7" w:rsidRPr="001833D9" w:rsidRDefault="000631B7" w:rsidP="000631B7">
      <w:pPr>
        <w:spacing w:before="100" w:beforeAutospacing="1" w:after="100" w:afterAutospacing="1"/>
        <w:contextualSpacing/>
        <w:jc w:val="both"/>
        <w:rPr>
          <w:rFonts w:cstheme="minorHAnsi"/>
        </w:rPr>
      </w:pPr>
    </w:p>
    <w:p w14:paraId="21BFA5A3" w14:textId="77777777" w:rsidR="000631B7" w:rsidRPr="001833D9" w:rsidRDefault="000631B7" w:rsidP="000631B7">
      <w:pPr>
        <w:spacing w:before="100" w:beforeAutospacing="1" w:after="100" w:afterAutospacing="1"/>
        <w:ind w:right="283"/>
        <w:contextualSpacing/>
        <w:jc w:val="both"/>
        <w:rPr>
          <w:rFonts w:cstheme="minorHAnsi"/>
        </w:rPr>
      </w:pPr>
      <w:r w:rsidRPr="001833D9">
        <w:rPr>
          <w:rFonts w:cstheme="minorHAnsi"/>
          <w:i/>
          <w:iCs/>
        </w:rPr>
        <w:t>A notice verifying that as result of an evaluation no indications were found that the possessor of the data or a partner in communication is a person as of art. 3 para. 4.  </w:t>
      </w:r>
    </w:p>
    <w:p w14:paraId="50421656" w14:textId="77777777" w:rsidR="000631B7" w:rsidRPr="001833D9" w:rsidRDefault="000631B7" w:rsidP="000631B7">
      <w:pPr>
        <w:spacing w:before="100" w:beforeAutospacing="1" w:after="100" w:afterAutospacing="1"/>
        <w:contextualSpacing/>
        <w:jc w:val="both"/>
        <w:rPr>
          <w:rFonts w:cstheme="minorHAnsi"/>
        </w:rPr>
      </w:pPr>
      <w:r w:rsidRPr="001833D9">
        <w:rPr>
          <w:rFonts w:cstheme="minorHAnsi"/>
        </w:rPr>
        <w:t> </w:t>
      </w:r>
    </w:p>
    <w:p w14:paraId="125FBCF5" w14:textId="77777777" w:rsidR="000631B7" w:rsidRDefault="000631B7" w:rsidP="000631B7">
      <w:pPr>
        <w:spacing w:before="100" w:beforeAutospacing="1" w:after="100" w:afterAutospacing="1"/>
        <w:contextualSpacing/>
        <w:jc w:val="both"/>
        <w:rPr>
          <w:rFonts w:cstheme="minorHAnsi"/>
          <w:b/>
          <w:bCs/>
        </w:rPr>
      </w:pPr>
      <w:r w:rsidRPr="001833D9">
        <w:rPr>
          <w:rFonts w:cstheme="minorHAnsi"/>
          <w:b/>
          <w:bCs/>
        </w:rPr>
        <w:t>Article 6 (Conditions for Issuing a European Preservation Order), paragraph 3 (h) (new)</w:t>
      </w:r>
    </w:p>
    <w:p w14:paraId="7DE0C310" w14:textId="77777777" w:rsidR="000631B7" w:rsidRPr="001833D9" w:rsidRDefault="000631B7" w:rsidP="000631B7">
      <w:pPr>
        <w:spacing w:before="100" w:beforeAutospacing="1" w:after="100" w:afterAutospacing="1"/>
        <w:contextualSpacing/>
        <w:jc w:val="both"/>
        <w:rPr>
          <w:rFonts w:cstheme="minorHAnsi"/>
        </w:rPr>
      </w:pPr>
    </w:p>
    <w:p w14:paraId="32A848A1" w14:textId="77777777" w:rsidR="00A6355B" w:rsidRDefault="000631B7">
      <w:pPr>
        <w:contextualSpacing/>
        <w:rPr>
          <w:rFonts w:cstheme="minorHAnsi"/>
          <w:i/>
          <w:iCs/>
        </w:rPr>
      </w:pPr>
      <w:r w:rsidRPr="001833D9">
        <w:rPr>
          <w:rFonts w:cstheme="minorHAnsi"/>
          <w:i/>
          <w:iCs/>
        </w:rPr>
        <w:t>A notice verifying that as result of an evaluation no indications were found that the possessor of the data or a partner in communication is a person as of art. 3 para. 4).</w:t>
      </w:r>
    </w:p>
    <w:p w14:paraId="7CF7203A" w14:textId="77777777" w:rsidR="00A6355B" w:rsidRDefault="00A6355B">
      <w:pPr>
        <w:contextualSpacing/>
        <w:rPr>
          <w:rFonts w:cstheme="minorHAnsi"/>
          <w:i/>
          <w:iCs/>
        </w:rPr>
      </w:pPr>
    </w:p>
    <w:p w14:paraId="2F9C45CF" w14:textId="77777777" w:rsidR="00441704" w:rsidRDefault="00441704" w:rsidP="00441704">
      <w:pPr>
        <w:contextualSpacing/>
        <w:rPr>
          <w:rFonts w:cstheme="minorHAnsi"/>
          <w:i/>
          <w:iCs/>
        </w:rPr>
      </w:pPr>
    </w:p>
    <w:p w14:paraId="192EF00A" w14:textId="77777777" w:rsidR="00441704" w:rsidRDefault="00441704" w:rsidP="00441704">
      <w:pPr>
        <w:contextualSpacing/>
        <w:rPr>
          <w:rFonts w:cstheme="minorHAnsi"/>
          <w:b/>
          <w:iCs/>
          <w:u w:val="single"/>
        </w:rPr>
      </w:pPr>
      <w:r w:rsidRPr="00441704">
        <w:rPr>
          <w:rFonts w:cstheme="minorHAnsi"/>
          <w:b/>
          <w:iCs/>
          <w:u w:val="single"/>
        </w:rPr>
        <w:t>Contacts</w:t>
      </w:r>
      <w:r>
        <w:rPr>
          <w:rFonts w:cstheme="minorHAnsi"/>
          <w:b/>
          <w:iCs/>
          <w:u w:val="single"/>
        </w:rPr>
        <w:t>:</w:t>
      </w:r>
    </w:p>
    <w:p w14:paraId="0872E872" w14:textId="77777777" w:rsidR="00B155AF" w:rsidRDefault="00B155AF" w:rsidP="00441704">
      <w:pPr>
        <w:contextualSpacing/>
        <w:rPr>
          <w:rFonts w:cstheme="minorHAnsi"/>
          <w:b/>
          <w:iCs/>
          <w:u w:val="single"/>
        </w:rPr>
      </w:pPr>
    </w:p>
    <w:tbl>
      <w:tblPr>
        <w:tblStyle w:val="TableNormal12"/>
        <w:tblW w:w="89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5"/>
        <w:gridCol w:w="370"/>
        <w:gridCol w:w="2182"/>
        <w:gridCol w:w="203"/>
        <w:gridCol w:w="2100"/>
        <w:gridCol w:w="2381"/>
      </w:tblGrid>
      <w:tr w:rsidR="00B155AF" w:rsidRPr="00B155AF" w14:paraId="33202481" w14:textId="77777777" w:rsidTr="00860E57">
        <w:trPr>
          <w:trHeight w:val="1480"/>
        </w:trPr>
        <w:tc>
          <w:tcPr>
            <w:tcW w:w="1735" w:type="dxa"/>
            <w:tcBorders>
              <w:top w:val="nil"/>
              <w:left w:val="nil"/>
              <w:bottom w:val="nil"/>
              <w:right w:val="nil"/>
            </w:tcBorders>
            <w:shd w:val="clear" w:color="auto" w:fill="auto"/>
            <w:tcMar>
              <w:top w:w="80" w:type="dxa"/>
              <w:left w:w="80" w:type="dxa"/>
              <w:bottom w:w="80" w:type="dxa"/>
              <w:right w:w="80" w:type="dxa"/>
            </w:tcMar>
          </w:tcPr>
          <w:p w14:paraId="286E4FB1" w14:textId="1537DD6B" w:rsidR="00B155AF" w:rsidRPr="00860E57" w:rsidRDefault="00B155AF" w:rsidP="00B155AF">
            <w:pPr>
              <w:rPr>
                <w:rFonts w:asciiTheme="minorHAnsi" w:hAnsiTheme="minorHAnsi"/>
                <w:b/>
                <w:noProof/>
                <w:sz w:val="22"/>
                <w:szCs w:val="22"/>
                <w:lang w:val="fr-FR" w:eastAsia="en-US"/>
              </w:rPr>
            </w:pPr>
            <w:r w:rsidRPr="00860E57">
              <w:rPr>
                <w:rFonts w:asciiTheme="minorHAnsi" w:hAnsiTheme="minorHAnsi"/>
                <w:b/>
                <w:noProof/>
                <w:sz w:val="22"/>
                <w:szCs w:val="22"/>
                <w:lang w:val="fr-FR"/>
              </w:rPr>
              <w:t>Grégoire Polad</w:t>
            </w:r>
          </w:p>
          <w:p w14:paraId="67B80A6C" w14:textId="74C0A0CB" w:rsidR="00920686" w:rsidRPr="00860E57" w:rsidRDefault="00C2253C" w:rsidP="00B155AF">
            <w:pPr>
              <w:rPr>
                <w:rFonts w:asciiTheme="minorHAnsi" w:hAnsiTheme="minorHAnsi"/>
                <w:sz w:val="22"/>
                <w:szCs w:val="22"/>
                <w:lang w:val="fr-FR"/>
              </w:rPr>
            </w:pPr>
            <w:proofErr w:type="spellStart"/>
            <w:r w:rsidRPr="00860E57">
              <w:rPr>
                <w:rFonts w:asciiTheme="minorHAnsi" w:hAnsiTheme="minorHAnsi"/>
                <w:sz w:val="22"/>
                <w:szCs w:val="22"/>
                <w:lang w:val="fr-FR"/>
              </w:rPr>
              <w:t>Director</w:t>
            </w:r>
            <w:proofErr w:type="spellEnd"/>
            <w:r w:rsidR="00920686" w:rsidRPr="00860E57">
              <w:rPr>
                <w:rFonts w:asciiTheme="minorHAnsi" w:hAnsiTheme="minorHAnsi"/>
                <w:sz w:val="22"/>
                <w:szCs w:val="22"/>
                <w:lang w:val="fr-FR"/>
              </w:rPr>
              <w:t xml:space="preserve"> General</w:t>
            </w:r>
          </w:p>
          <w:p w14:paraId="2AF3FB77" w14:textId="77777777" w:rsidR="00B155AF" w:rsidRPr="00860E57" w:rsidRDefault="00B155AF" w:rsidP="00860E57">
            <w:pPr>
              <w:spacing w:before="100"/>
              <w:rPr>
                <w:rFonts w:asciiTheme="minorHAnsi" w:hAnsiTheme="minorHAnsi"/>
                <w:sz w:val="22"/>
                <w:szCs w:val="22"/>
                <w:lang w:val="fr-FR"/>
              </w:rPr>
            </w:pPr>
            <w:r w:rsidRPr="00860E57">
              <w:rPr>
                <w:rFonts w:asciiTheme="minorHAnsi" w:hAnsiTheme="minorHAnsi"/>
                <w:sz w:val="22"/>
                <w:szCs w:val="22"/>
                <w:lang w:val="fr-FR"/>
              </w:rPr>
              <w:t>ACT</w:t>
            </w:r>
          </w:p>
          <w:p w14:paraId="6D02C69D" w14:textId="77777777" w:rsidR="00B155AF" w:rsidRPr="00860E57" w:rsidRDefault="00B155AF" w:rsidP="00B155AF">
            <w:pPr>
              <w:rPr>
                <w:rFonts w:asciiTheme="minorHAnsi" w:hAnsiTheme="minorHAnsi"/>
                <w:sz w:val="22"/>
                <w:szCs w:val="22"/>
                <w:lang w:val="fr-FR"/>
              </w:rPr>
            </w:pPr>
            <w:r w:rsidRPr="00860E57">
              <w:rPr>
                <w:rFonts w:asciiTheme="minorHAnsi" w:hAnsiTheme="minorHAnsi"/>
                <w:sz w:val="22"/>
                <w:szCs w:val="22"/>
                <w:lang w:val="fr-FR"/>
              </w:rPr>
              <w:t>gp@acte.be</w:t>
            </w:r>
          </w:p>
          <w:p w14:paraId="1E8A72B1" w14:textId="77777777" w:rsidR="00B155AF" w:rsidRPr="00860E57" w:rsidRDefault="00B155AF" w:rsidP="00B155AF">
            <w:pPr>
              <w:spacing w:before="40"/>
              <w:jc w:val="both"/>
              <w:rPr>
                <w:rFonts w:asciiTheme="minorHAnsi" w:hAnsiTheme="minorHAnsi"/>
                <w:color w:val="0563C1"/>
                <w:sz w:val="22"/>
                <w:szCs w:val="22"/>
                <w:u w:val="single"/>
                <w:lang w:val="fr-FR"/>
              </w:rPr>
            </w:pPr>
          </w:p>
          <w:p w14:paraId="405EBB4E" w14:textId="77777777" w:rsidR="00B155AF" w:rsidRPr="00860E57" w:rsidRDefault="00B155AF" w:rsidP="00B155AF">
            <w:pPr>
              <w:jc w:val="both"/>
              <w:rPr>
                <w:rFonts w:asciiTheme="minorHAnsi" w:hAnsiTheme="minorHAnsi"/>
                <w:sz w:val="22"/>
                <w:szCs w:val="22"/>
                <w:u w:val="single"/>
                <w:lang w:val="fr-FR"/>
              </w:rPr>
            </w:pPr>
            <w:r w:rsidRPr="00860E57">
              <w:rPr>
                <w:rFonts w:asciiTheme="minorHAnsi" w:hAnsiTheme="minorHAnsi"/>
                <w:color w:val="0563C1"/>
                <w:sz w:val="22"/>
                <w:szCs w:val="22"/>
                <w:u w:val="single"/>
                <w:lang w:val="fr-FR"/>
              </w:rPr>
              <w:t>https://acte.be</w:t>
            </w:r>
          </w:p>
          <w:p w14:paraId="0D44725C" w14:textId="77777777" w:rsidR="00B155AF" w:rsidRPr="00860E57" w:rsidRDefault="00B155AF" w:rsidP="00B155AF">
            <w:pPr>
              <w:rPr>
                <w:rFonts w:asciiTheme="minorHAnsi" w:hAnsiTheme="minorHAnsi"/>
                <w:sz w:val="22"/>
                <w:szCs w:val="22"/>
                <w:lang w:val="fr-FR"/>
              </w:rPr>
            </w:pPr>
          </w:p>
        </w:tc>
        <w:tc>
          <w:tcPr>
            <w:tcW w:w="2552" w:type="dxa"/>
            <w:gridSpan w:val="2"/>
            <w:tcBorders>
              <w:top w:val="nil"/>
              <w:left w:val="nil"/>
              <w:bottom w:val="nil"/>
              <w:right w:val="nil"/>
            </w:tcBorders>
            <w:shd w:val="clear" w:color="auto" w:fill="auto"/>
            <w:tcMar>
              <w:top w:w="80" w:type="dxa"/>
              <w:left w:w="80" w:type="dxa"/>
              <w:bottom w:w="80" w:type="dxa"/>
              <w:right w:w="80" w:type="dxa"/>
            </w:tcMar>
          </w:tcPr>
          <w:p w14:paraId="15E3F0CB" w14:textId="77777777" w:rsidR="00B155AF" w:rsidRPr="00860E57" w:rsidRDefault="00B155AF" w:rsidP="00B155AF">
            <w:pPr>
              <w:rPr>
                <w:rFonts w:asciiTheme="minorHAnsi" w:hAnsiTheme="minorHAnsi"/>
                <w:b/>
                <w:sz w:val="22"/>
                <w:szCs w:val="22"/>
                <w:lang w:val="en-US"/>
              </w:rPr>
            </w:pPr>
            <w:r w:rsidRPr="00860E57">
              <w:rPr>
                <w:rFonts w:asciiTheme="minorHAnsi" w:hAnsiTheme="minorHAnsi"/>
                <w:b/>
                <w:sz w:val="22"/>
                <w:szCs w:val="22"/>
                <w:lang w:val="en-US"/>
              </w:rPr>
              <w:t>Vincent Sneed</w:t>
            </w:r>
          </w:p>
          <w:p w14:paraId="31BAD79F" w14:textId="6BA4DA4B" w:rsidR="00C2253C" w:rsidRPr="00860E57" w:rsidRDefault="00920686" w:rsidP="00B155AF">
            <w:pPr>
              <w:rPr>
                <w:rFonts w:asciiTheme="minorHAnsi" w:hAnsiTheme="minorHAnsi"/>
                <w:sz w:val="22"/>
                <w:szCs w:val="22"/>
                <w:lang w:val="en-US"/>
              </w:rPr>
            </w:pPr>
            <w:r w:rsidRPr="00860E57">
              <w:rPr>
                <w:rFonts w:asciiTheme="minorHAnsi" w:hAnsiTheme="minorHAnsi"/>
                <w:sz w:val="22"/>
                <w:szCs w:val="22"/>
                <w:lang w:val="en-US"/>
              </w:rPr>
              <w:t>Director Regulatory Affairs</w:t>
            </w:r>
          </w:p>
          <w:p w14:paraId="64994627" w14:textId="77777777" w:rsidR="00B155AF" w:rsidRPr="00860E57" w:rsidRDefault="00B155AF" w:rsidP="00B155AF">
            <w:pPr>
              <w:rPr>
                <w:rFonts w:asciiTheme="minorHAnsi" w:hAnsiTheme="minorHAnsi"/>
                <w:sz w:val="22"/>
                <w:szCs w:val="22"/>
                <w:lang w:val="en-US"/>
              </w:rPr>
            </w:pPr>
            <w:r w:rsidRPr="00860E57">
              <w:rPr>
                <w:rFonts w:asciiTheme="minorHAnsi" w:hAnsiTheme="minorHAnsi"/>
                <w:sz w:val="22"/>
                <w:szCs w:val="22"/>
                <w:lang w:val="en-US"/>
              </w:rPr>
              <w:t>AER</w:t>
            </w:r>
          </w:p>
          <w:p w14:paraId="67253F06" w14:textId="77777777" w:rsidR="00B155AF" w:rsidRPr="00860E57" w:rsidRDefault="00B155AF" w:rsidP="00B155AF">
            <w:pPr>
              <w:rPr>
                <w:rFonts w:asciiTheme="minorHAnsi" w:hAnsiTheme="minorHAnsi"/>
                <w:sz w:val="22"/>
                <w:szCs w:val="22"/>
                <w:lang w:val="en-US"/>
              </w:rPr>
            </w:pPr>
            <w:r w:rsidRPr="00860E57">
              <w:rPr>
                <w:rFonts w:asciiTheme="minorHAnsi" w:hAnsiTheme="minorHAnsi"/>
                <w:sz w:val="22"/>
                <w:szCs w:val="22"/>
                <w:lang w:val="en-US"/>
              </w:rPr>
              <w:t>vincent.sneed@aereurope.org</w:t>
            </w:r>
          </w:p>
          <w:p w14:paraId="1AEFC8DC" w14:textId="77777777" w:rsidR="00B155AF" w:rsidRPr="00B155AF" w:rsidRDefault="0092495F" w:rsidP="00B155AF">
            <w:pPr>
              <w:rPr>
                <w:rFonts w:asciiTheme="minorHAnsi" w:hAnsiTheme="minorHAnsi"/>
                <w:sz w:val="22"/>
                <w:szCs w:val="22"/>
                <w:lang w:val="en-US"/>
              </w:rPr>
            </w:pPr>
            <w:hyperlink r:id="rId8" w:history="1">
              <w:r w:rsidR="00B155AF" w:rsidRPr="00B155AF">
                <w:rPr>
                  <w:rFonts w:asciiTheme="minorHAnsi" w:hAnsiTheme="minorHAnsi"/>
                  <w:color w:val="0563C1" w:themeColor="hyperlink"/>
                  <w:sz w:val="22"/>
                  <w:szCs w:val="22"/>
                  <w:u w:val="single"/>
                  <w:lang w:val="en-US"/>
                </w:rPr>
                <w:t>www.aereurope.org</w:t>
              </w:r>
            </w:hyperlink>
          </w:p>
        </w:tc>
        <w:tc>
          <w:tcPr>
            <w:tcW w:w="2303" w:type="dxa"/>
            <w:gridSpan w:val="2"/>
            <w:tcBorders>
              <w:top w:val="nil"/>
              <w:left w:val="nil"/>
              <w:bottom w:val="nil"/>
              <w:right w:val="nil"/>
            </w:tcBorders>
            <w:shd w:val="clear" w:color="auto" w:fill="auto"/>
            <w:tcMar>
              <w:top w:w="80" w:type="dxa"/>
              <w:left w:w="80" w:type="dxa"/>
              <w:bottom w:w="80" w:type="dxa"/>
              <w:right w:w="80" w:type="dxa"/>
            </w:tcMar>
          </w:tcPr>
          <w:p w14:paraId="7BF9672D" w14:textId="77777777" w:rsidR="00B155AF" w:rsidRPr="00860E57" w:rsidRDefault="00B155AF" w:rsidP="00B155AF">
            <w:pPr>
              <w:rPr>
                <w:rFonts w:asciiTheme="minorHAnsi" w:hAnsiTheme="minorHAnsi"/>
                <w:b/>
                <w:sz w:val="22"/>
                <w:szCs w:val="22"/>
                <w:lang w:val="en-US"/>
              </w:rPr>
            </w:pPr>
            <w:r w:rsidRPr="00860E57">
              <w:rPr>
                <w:rFonts w:asciiTheme="minorHAnsi" w:hAnsiTheme="minorHAnsi"/>
                <w:b/>
                <w:sz w:val="22"/>
                <w:szCs w:val="22"/>
                <w:lang w:val="en-US"/>
              </w:rPr>
              <w:t xml:space="preserve">Wouter </w:t>
            </w:r>
            <w:proofErr w:type="spellStart"/>
            <w:r w:rsidRPr="00860E57">
              <w:rPr>
                <w:rFonts w:asciiTheme="minorHAnsi" w:hAnsiTheme="minorHAnsi"/>
                <w:b/>
                <w:sz w:val="22"/>
                <w:szCs w:val="22"/>
                <w:lang w:val="en-US"/>
              </w:rPr>
              <w:t>Gekiere</w:t>
            </w:r>
            <w:proofErr w:type="spellEnd"/>
          </w:p>
          <w:p w14:paraId="2E57572C" w14:textId="05CF9FD0" w:rsidR="00920686" w:rsidRPr="00860E57" w:rsidRDefault="0092495F" w:rsidP="00B155AF">
            <w:pPr>
              <w:rPr>
                <w:rFonts w:asciiTheme="minorHAnsi" w:hAnsiTheme="minorHAnsi"/>
                <w:sz w:val="22"/>
                <w:szCs w:val="22"/>
                <w:lang w:val="en-US"/>
              </w:rPr>
            </w:pPr>
            <w:r w:rsidRPr="0092495F">
              <w:rPr>
                <w:rFonts w:asciiTheme="minorHAnsi" w:hAnsiTheme="minorHAnsi"/>
                <w:sz w:val="22"/>
                <w:szCs w:val="22"/>
              </w:rPr>
              <w:t>Head</w:t>
            </w:r>
            <w:r w:rsidR="00920686" w:rsidRPr="0092495F">
              <w:rPr>
                <w:rFonts w:asciiTheme="minorHAnsi" w:hAnsiTheme="minorHAnsi"/>
                <w:sz w:val="22"/>
                <w:szCs w:val="22"/>
              </w:rPr>
              <w:t xml:space="preserve"> </w:t>
            </w:r>
            <w:r w:rsidR="00920686" w:rsidRPr="00860E57">
              <w:rPr>
                <w:rFonts w:asciiTheme="minorHAnsi" w:hAnsiTheme="minorHAnsi"/>
                <w:sz w:val="22"/>
                <w:szCs w:val="22"/>
                <w:lang w:val="en-US"/>
              </w:rPr>
              <w:t>of EU Regulatory Policy</w:t>
            </w:r>
          </w:p>
          <w:p w14:paraId="29F81F96" w14:textId="77777777" w:rsidR="00B155AF" w:rsidRPr="00860E57" w:rsidRDefault="00B155AF" w:rsidP="00B155AF">
            <w:pPr>
              <w:rPr>
                <w:rFonts w:asciiTheme="minorHAnsi" w:hAnsiTheme="minorHAnsi"/>
                <w:sz w:val="22"/>
                <w:szCs w:val="22"/>
                <w:lang w:val="en-US"/>
              </w:rPr>
            </w:pPr>
            <w:r w:rsidRPr="00860E57">
              <w:rPr>
                <w:rFonts w:asciiTheme="minorHAnsi" w:hAnsiTheme="minorHAnsi"/>
                <w:sz w:val="22"/>
                <w:szCs w:val="22"/>
                <w:lang w:val="en-US"/>
              </w:rPr>
              <w:t>EBU</w:t>
            </w:r>
          </w:p>
          <w:p w14:paraId="2EE0893F" w14:textId="4C848C9E" w:rsidR="00B155AF" w:rsidRPr="00860E57" w:rsidRDefault="00B155AF" w:rsidP="00B155AF">
            <w:pPr>
              <w:rPr>
                <w:rFonts w:asciiTheme="minorHAnsi" w:hAnsiTheme="minorHAnsi"/>
                <w:sz w:val="22"/>
                <w:szCs w:val="22"/>
                <w:lang w:val="en-US"/>
              </w:rPr>
            </w:pPr>
            <w:bookmarkStart w:id="0" w:name="_GoBack"/>
            <w:bookmarkEnd w:id="0"/>
            <w:r w:rsidRPr="00B155AF">
              <w:rPr>
                <w:rFonts w:asciiTheme="minorHAnsi" w:hAnsiTheme="minorHAnsi"/>
                <w:sz w:val="22"/>
                <w:szCs w:val="22"/>
              </w:rPr>
              <w:t>gekiere@ebu.ch</w:t>
            </w:r>
          </w:p>
          <w:p w14:paraId="76FE01DC" w14:textId="77777777" w:rsidR="00B155AF" w:rsidRPr="00B155AF" w:rsidRDefault="0092495F" w:rsidP="00B155AF">
            <w:pPr>
              <w:rPr>
                <w:rFonts w:asciiTheme="minorHAnsi" w:hAnsiTheme="minorHAnsi"/>
                <w:b/>
                <w:sz w:val="22"/>
                <w:szCs w:val="22"/>
                <w:lang w:val="en-GB"/>
              </w:rPr>
            </w:pPr>
            <w:hyperlink r:id="rId9" w:history="1">
              <w:r w:rsidR="00B155AF" w:rsidRPr="00B155AF">
                <w:rPr>
                  <w:rFonts w:asciiTheme="minorHAnsi" w:hAnsiTheme="minorHAnsi"/>
                  <w:color w:val="0563C1" w:themeColor="hyperlink"/>
                  <w:sz w:val="22"/>
                  <w:szCs w:val="22"/>
                  <w:u w:val="single"/>
                  <w:lang w:val="en-US"/>
                </w:rPr>
                <w:t>www.ebu.ch</w:t>
              </w:r>
            </w:hyperlink>
          </w:p>
          <w:p w14:paraId="099A5C2C" w14:textId="77777777" w:rsidR="00B155AF" w:rsidRPr="00B155AF" w:rsidRDefault="00B155AF" w:rsidP="00B155AF">
            <w:pPr>
              <w:rPr>
                <w:rFonts w:asciiTheme="minorHAnsi" w:hAnsiTheme="minorHAnsi"/>
                <w:sz w:val="22"/>
                <w:szCs w:val="22"/>
                <w:lang w:val="en-GB"/>
              </w:rPr>
            </w:pPr>
          </w:p>
        </w:tc>
        <w:tc>
          <w:tcPr>
            <w:tcW w:w="2381" w:type="dxa"/>
            <w:tcBorders>
              <w:top w:val="nil"/>
              <w:left w:val="nil"/>
              <w:bottom w:val="nil"/>
              <w:right w:val="nil"/>
            </w:tcBorders>
            <w:shd w:val="clear" w:color="auto" w:fill="auto"/>
            <w:tcMar>
              <w:top w:w="80" w:type="dxa"/>
              <w:left w:w="80" w:type="dxa"/>
              <w:bottom w:w="80" w:type="dxa"/>
              <w:right w:w="80" w:type="dxa"/>
            </w:tcMar>
          </w:tcPr>
          <w:p w14:paraId="01CEB238" w14:textId="77777777" w:rsidR="00B155AF" w:rsidRPr="00B155AF" w:rsidRDefault="00B155AF" w:rsidP="00B155AF">
            <w:pPr>
              <w:rPr>
                <w:rFonts w:asciiTheme="minorHAnsi" w:hAnsiTheme="minorHAnsi"/>
                <w:b/>
                <w:sz w:val="22"/>
                <w:szCs w:val="22"/>
                <w:lang w:val="en-GB"/>
              </w:rPr>
            </w:pPr>
            <w:r w:rsidRPr="00B155AF">
              <w:rPr>
                <w:rFonts w:asciiTheme="minorHAnsi" w:hAnsiTheme="minorHAnsi"/>
                <w:b/>
                <w:sz w:val="22"/>
                <w:szCs w:val="22"/>
                <w:lang w:val="en-GB"/>
              </w:rPr>
              <w:t>Renate Schroeder</w:t>
            </w:r>
          </w:p>
          <w:p w14:paraId="45715091" w14:textId="29DAEE9F" w:rsidR="00920686" w:rsidRDefault="00C2253C" w:rsidP="00B155AF">
            <w:pPr>
              <w:rPr>
                <w:rFonts w:asciiTheme="minorHAnsi" w:hAnsiTheme="minorHAnsi"/>
                <w:sz w:val="22"/>
                <w:szCs w:val="22"/>
                <w:lang w:val="en-GB"/>
              </w:rPr>
            </w:pPr>
            <w:r>
              <w:rPr>
                <w:rFonts w:asciiTheme="minorHAnsi" w:hAnsiTheme="minorHAnsi"/>
                <w:sz w:val="22"/>
                <w:szCs w:val="22"/>
                <w:lang w:val="en-GB"/>
              </w:rPr>
              <w:t>Director</w:t>
            </w:r>
          </w:p>
          <w:p w14:paraId="7197C497" w14:textId="77777777" w:rsidR="00B155AF" w:rsidRPr="00B155AF" w:rsidRDefault="00B155AF" w:rsidP="00B155AF">
            <w:pPr>
              <w:rPr>
                <w:rFonts w:asciiTheme="minorHAnsi" w:hAnsiTheme="minorHAnsi"/>
                <w:sz w:val="22"/>
                <w:szCs w:val="22"/>
                <w:lang w:val="en-GB"/>
              </w:rPr>
            </w:pPr>
            <w:r w:rsidRPr="00B155AF">
              <w:rPr>
                <w:rFonts w:asciiTheme="minorHAnsi" w:hAnsiTheme="minorHAnsi"/>
                <w:sz w:val="22"/>
                <w:szCs w:val="22"/>
                <w:lang w:val="en-GB"/>
              </w:rPr>
              <w:t>EFJ</w:t>
            </w:r>
          </w:p>
          <w:p w14:paraId="665DC22D" w14:textId="77777777" w:rsidR="00B155AF" w:rsidRPr="00B155AF" w:rsidRDefault="00B155AF" w:rsidP="00B155AF">
            <w:pPr>
              <w:rPr>
                <w:rFonts w:asciiTheme="minorHAnsi" w:hAnsiTheme="minorHAnsi"/>
                <w:sz w:val="22"/>
                <w:szCs w:val="22"/>
                <w:lang w:val="en-GB"/>
              </w:rPr>
            </w:pPr>
            <w:r w:rsidRPr="00B155AF">
              <w:rPr>
                <w:rFonts w:asciiTheme="minorHAnsi" w:hAnsiTheme="minorHAnsi"/>
                <w:sz w:val="22"/>
                <w:szCs w:val="22"/>
              </w:rPr>
              <w:t>renate.schroeder@ifj.org</w:t>
            </w:r>
          </w:p>
          <w:p w14:paraId="35EF29B7" w14:textId="77777777" w:rsidR="00B155AF" w:rsidRPr="00B155AF" w:rsidRDefault="0092495F" w:rsidP="00B155AF">
            <w:pPr>
              <w:rPr>
                <w:rFonts w:asciiTheme="minorHAnsi" w:hAnsiTheme="minorHAnsi"/>
                <w:sz w:val="22"/>
                <w:szCs w:val="22"/>
                <w:lang w:val="nl-BE"/>
              </w:rPr>
            </w:pPr>
            <w:hyperlink r:id="rId10" w:history="1">
              <w:r w:rsidR="00B155AF" w:rsidRPr="00B155AF">
                <w:rPr>
                  <w:rFonts w:asciiTheme="minorHAnsi" w:hAnsiTheme="minorHAnsi"/>
                  <w:color w:val="0563C1" w:themeColor="hyperlink"/>
                  <w:sz w:val="22"/>
                  <w:szCs w:val="22"/>
                  <w:u w:val="single"/>
                  <w:lang w:val="en-GB"/>
                </w:rPr>
                <w:t>www.europeanjournalists.org</w:t>
              </w:r>
            </w:hyperlink>
          </w:p>
        </w:tc>
      </w:tr>
      <w:tr w:rsidR="00B155AF" w:rsidRPr="00B155AF" w14:paraId="35E63316" w14:textId="77777777" w:rsidTr="003A1756">
        <w:trPr>
          <w:trHeight w:val="634"/>
        </w:trPr>
        <w:tc>
          <w:tcPr>
            <w:tcW w:w="2105" w:type="dxa"/>
            <w:gridSpan w:val="2"/>
            <w:tcBorders>
              <w:top w:val="nil"/>
              <w:left w:val="nil"/>
              <w:bottom w:val="nil"/>
              <w:right w:val="nil"/>
            </w:tcBorders>
            <w:shd w:val="clear" w:color="auto" w:fill="auto"/>
            <w:tcMar>
              <w:top w:w="80" w:type="dxa"/>
              <w:left w:w="80" w:type="dxa"/>
              <w:bottom w:w="80" w:type="dxa"/>
              <w:right w:w="80" w:type="dxa"/>
            </w:tcMar>
          </w:tcPr>
          <w:p w14:paraId="1CC4F24A" w14:textId="7E3C4A3F" w:rsidR="00C2253C" w:rsidRDefault="00C2253C" w:rsidP="00B155AF"/>
          <w:p w14:paraId="7325263A" w14:textId="77777777" w:rsidR="00B155AF" w:rsidRPr="00B155AF" w:rsidRDefault="00B155AF" w:rsidP="00B155AF">
            <w:r w:rsidRPr="00B155AF">
              <w:rPr>
                <w:noProof/>
                <w:lang w:val="fr-CH" w:eastAsia="fr-CH"/>
              </w:rPr>
              <w:drawing>
                <wp:inline distT="0" distB="0" distL="0" distR="0" wp14:anchorId="5B429F7E" wp14:editId="313A185A">
                  <wp:extent cx="1274733" cy="33437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354" cy="347648"/>
                          </a:xfrm>
                          <a:prstGeom prst="rect">
                            <a:avLst/>
                          </a:prstGeom>
                          <a:noFill/>
                        </pic:spPr>
                      </pic:pic>
                    </a:graphicData>
                  </a:graphic>
                </wp:inline>
              </w:drawing>
            </w:r>
          </w:p>
        </w:tc>
        <w:tc>
          <w:tcPr>
            <w:tcW w:w="2385" w:type="dxa"/>
            <w:gridSpan w:val="2"/>
            <w:tcBorders>
              <w:top w:val="nil"/>
              <w:left w:val="nil"/>
              <w:bottom w:val="nil"/>
              <w:right w:val="nil"/>
            </w:tcBorders>
            <w:shd w:val="clear" w:color="auto" w:fill="auto"/>
            <w:tcMar>
              <w:top w:w="80" w:type="dxa"/>
              <w:left w:w="80" w:type="dxa"/>
              <w:bottom w:w="80" w:type="dxa"/>
              <w:right w:w="80" w:type="dxa"/>
            </w:tcMar>
          </w:tcPr>
          <w:p w14:paraId="73387634" w14:textId="77777777" w:rsidR="00B155AF" w:rsidRPr="00B155AF" w:rsidRDefault="00B155AF" w:rsidP="00B155AF">
            <w:pPr>
              <w:spacing w:before="80"/>
              <w:jc w:val="center"/>
            </w:pPr>
            <w:r w:rsidRPr="00B155AF">
              <w:rPr>
                <w:noProof/>
                <w:lang w:val="fr-CH" w:eastAsia="fr-CH"/>
              </w:rPr>
              <w:drawing>
                <wp:inline distT="0" distB="0" distL="0" distR="0" wp14:anchorId="25BCE093" wp14:editId="655B3C16">
                  <wp:extent cx="1117372" cy="469114"/>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982" cy="488263"/>
                          </a:xfrm>
                          <a:prstGeom prst="rect">
                            <a:avLst/>
                          </a:prstGeom>
                          <a:noFill/>
                        </pic:spPr>
                      </pic:pic>
                    </a:graphicData>
                  </a:graphic>
                </wp:inline>
              </w:drawing>
            </w:r>
          </w:p>
        </w:tc>
        <w:tc>
          <w:tcPr>
            <w:tcW w:w="2100" w:type="dxa"/>
            <w:tcBorders>
              <w:top w:val="nil"/>
              <w:left w:val="nil"/>
              <w:bottom w:val="nil"/>
              <w:right w:val="nil"/>
            </w:tcBorders>
            <w:shd w:val="clear" w:color="auto" w:fill="auto"/>
            <w:tcMar>
              <w:top w:w="80" w:type="dxa"/>
              <w:left w:w="80" w:type="dxa"/>
              <w:bottom w:w="80" w:type="dxa"/>
              <w:right w:w="80" w:type="dxa"/>
            </w:tcMar>
          </w:tcPr>
          <w:p w14:paraId="581BA1E6" w14:textId="77777777" w:rsidR="00B155AF" w:rsidRPr="00B155AF" w:rsidRDefault="00B155AF" w:rsidP="00B155AF">
            <w:pPr>
              <w:spacing w:before="80"/>
              <w:jc w:val="center"/>
            </w:pPr>
            <w:r w:rsidRPr="00B155AF">
              <w:rPr>
                <w:rFonts w:ascii="Calibri" w:eastAsia="Calibri" w:hAnsi="Calibri" w:cs="Calibri"/>
                <w:noProof/>
                <w:lang w:val="fr-CH" w:eastAsia="fr-CH"/>
              </w:rPr>
              <w:drawing>
                <wp:inline distT="0" distB="0" distL="0" distR="0" wp14:anchorId="56975BE9" wp14:editId="07ADDCDA">
                  <wp:extent cx="141388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076" cy="421529"/>
                          </a:xfrm>
                          <a:prstGeom prst="rect">
                            <a:avLst/>
                          </a:prstGeom>
                          <a:noFill/>
                        </pic:spPr>
                      </pic:pic>
                    </a:graphicData>
                  </a:graphic>
                </wp:inline>
              </w:drawing>
            </w:r>
          </w:p>
        </w:tc>
        <w:tc>
          <w:tcPr>
            <w:tcW w:w="2381" w:type="dxa"/>
            <w:tcBorders>
              <w:top w:val="nil"/>
              <w:left w:val="nil"/>
              <w:bottom w:val="nil"/>
              <w:right w:val="nil"/>
            </w:tcBorders>
            <w:shd w:val="clear" w:color="auto" w:fill="auto"/>
            <w:tcMar>
              <w:top w:w="80" w:type="dxa"/>
              <w:left w:w="80" w:type="dxa"/>
              <w:bottom w:w="80" w:type="dxa"/>
              <w:right w:w="80" w:type="dxa"/>
            </w:tcMar>
          </w:tcPr>
          <w:p w14:paraId="371EDBE2" w14:textId="77777777" w:rsidR="00B155AF" w:rsidRPr="00B155AF" w:rsidRDefault="00B155AF" w:rsidP="00B155AF">
            <w:pPr>
              <w:spacing w:before="120"/>
              <w:jc w:val="center"/>
            </w:pPr>
            <w:r w:rsidRPr="00B155AF">
              <w:rPr>
                <w:noProof/>
                <w:lang w:val="fr-CH" w:eastAsia="fr-CH"/>
              </w:rPr>
              <w:drawing>
                <wp:inline distT="0" distB="0" distL="0" distR="0" wp14:anchorId="33FE5D8E" wp14:editId="4057D991">
                  <wp:extent cx="1186913" cy="462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070" cy="465067"/>
                          </a:xfrm>
                          <a:prstGeom prst="rect">
                            <a:avLst/>
                          </a:prstGeom>
                          <a:noFill/>
                        </pic:spPr>
                      </pic:pic>
                    </a:graphicData>
                  </a:graphic>
                </wp:inline>
              </w:drawing>
            </w:r>
          </w:p>
        </w:tc>
      </w:tr>
    </w:tbl>
    <w:p w14:paraId="38BB814E" w14:textId="77777777" w:rsidR="006465A3" w:rsidRDefault="006465A3">
      <w:pPr>
        <w:contextualSpacing/>
        <w:rPr>
          <w:rFonts w:cstheme="minorHAnsi"/>
          <w:i/>
          <w:iCs/>
        </w:rPr>
      </w:pPr>
    </w:p>
    <w:p w14:paraId="16E431CE" w14:textId="77777777" w:rsidR="00441704" w:rsidRDefault="00441704"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0580D545" w14:textId="77777777" w:rsidR="00A012D0" w:rsidRDefault="00A012D0"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0CBC5510" w14:textId="77777777" w:rsidR="00A012D0" w:rsidRDefault="00A012D0"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553D1392" w14:textId="502ABE2D" w:rsidR="00860E57" w:rsidRDefault="00860E57" w:rsidP="00860E57">
      <w:pPr>
        <w:rPr>
          <w:rFonts w:ascii="TrebuchetMS" w:hAnsi="TrebuchetMS" w:cs="Times New Roman"/>
          <w:b/>
          <w:bCs/>
          <w:i/>
          <w:iCs/>
          <w:color w:val="000000"/>
          <w:sz w:val="20"/>
          <w:szCs w:val="20"/>
          <w:lang w:val="en-US"/>
        </w:rPr>
      </w:pPr>
    </w:p>
    <w:p w14:paraId="12CEA2D6" w14:textId="77777777" w:rsidR="00860E57" w:rsidRDefault="00860E57" w:rsidP="00860E57">
      <w:pPr>
        <w:rPr>
          <w:rFonts w:ascii="TrebuchetMS" w:hAnsi="TrebuchetMS" w:cs="Times New Roman"/>
          <w:b/>
          <w:bCs/>
          <w:i/>
          <w:iCs/>
          <w:color w:val="000000"/>
          <w:sz w:val="20"/>
          <w:szCs w:val="20"/>
          <w:lang w:val="en-US"/>
        </w:rPr>
      </w:pPr>
    </w:p>
    <w:p w14:paraId="4FF59FD0" w14:textId="77777777" w:rsidR="00860E57" w:rsidRDefault="00860E57"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45032756" w14:textId="77777777" w:rsidR="00860E57" w:rsidRDefault="00860E57"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61746288" w14:textId="77777777" w:rsidR="00860E57" w:rsidRDefault="00860E57"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765C7267" w14:textId="77777777" w:rsidR="00860E57" w:rsidRDefault="00860E57"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537A2D1A" w14:textId="78562898" w:rsidR="00B155AF" w:rsidRDefault="00B155AF" w:rsidP="00441704">
      <w:pPr>
        <w:autoSpaceDE w:val="0"/>
        <w:autoSpaceDN w:val="0"/>
        <w:spacing w:after="280" w:line="300" w:lineRule="auto"/>
        <w:ind w:right="4"/>
        <w:jc w:val="both"/>
        <w:rPr>
          <w:rFonts w:ascii="TrebuchetMS" w:hAnsi="TrebuchetMS" w:cs="Times New Roman"/>
          <w:bCs/>
          <w:i/>
          <w:iCs/>
          <w:color w:val="000000"/>
          <w:sz w:val="20"/>
          <w:szCs w:val="20"/>
          <w:lang w:val="en-US"/>
        </w:rPr>
      </w:pPr>
      <w:r w:rsidRPr="009622BC">
        <w:rPr>
          <w:rFonts w:ascii="TrebuchetMS" w:hAnsi="TrebuchetMS" w:cs="Times New Roman"/>
          <w:b/>
          <w:bCs/>
          <w:i/>
          <w:iCs/>
          <w:color w:val="000000"/>
          <w:sz w:val="20"/>
          <w:szCs w:val="20"/>
          <w:lang w:val="en-US"/>
        </w:rPr>
        <w:t>ACT</w:t>
      </w:r>
      <w:r w:rsidRPr="00860E57">
        <w:rPr>
          <w:rFonts w:ascii="TrebuchetMS" w:hAnsi="TrebuchetMS" w:cs="Times New Roman"/>
          <w:bCs/>
          <w:i/>
          <w:iCs/>
          <w:color w:val="000000"/>
          <w:sz w:val="20"/>
          <w:szCs w:val="20"/>
          <w:lang w:val="en-US"/>
        </w:rPr>
        <w:t>,</w:t>
      </w:r>
      <w:r w:rsidRPr="009622BC">
        <w:rPr>
          <w:rFonts w:ascii="TrebuchetMS" w:hAnsi="TrebuchetMS" w:cs="Times New Roman"/>
          <w:b/>
          <w:bCs/>
          <w:i/>
          <w:iCs/>
          <w:color w:val="000000"/>
          <w:sz w:val="20"/>
          <w:szCs w:val="20"/>
          <w:lang w:val="en-US"/>
        </w:rPr>
        <w:t xml:space="preserve"> </w:t>
      </w:r>
      <w:r w:rsidRPr="00860E57">
        <w:rPr>
          <w:rFonts w:ascii="TrebuchetMS" w:hAnsi="TrebuchetMS" w:cs="Times New Roman"/>
          <w:bCs/>
          <w:i/>
          <w:iCs/>
          <w:color w:val="000000"/>
          <w:sz w:val="20"/>
          <w:szCs w:val="20"/>
          <w:lang w:val="en-US"/>
        </w:rPr>
        <w:t>the Association of Commercial Television in Europe, represents the interests of leading commercial broadcasters in 37 European countries. ACT is committed to protecting and to promoting the interests of the European private broadcasters. ACT engages with the EU institutions to achieve a balanced and appropriate regulatory framework which will encourage further investment and growth in the sector so that it will continue to do what we do best – getting great content to viewers.</w:t>
      </w:r>
    </w:p>
    <w:p w14:paraId="618ECDF9" w14:textId="40681BFE" w:rsidR="00B155AF" w:rsidRPr="00860E57" w:rsidRDefault="00B155AF" w:rsidP="00860E57">
      <w:pPr>
        <w:spacing w:after="0" w:line="240" w:lineRule="auto"/>
        <w:jc w:val="both"/>
        <w:rPr>
          <w:rFonts w:ascii="TrebuchetMS" w:hAnsi="TrebuchetMS" w:cs="Times New Roman"/>
          <w:i/>
          <w:sz w:val="20"/>
          <w:szCs w:val="20"/>
          <w:lang w:val="en-US"/>
        </w:rPr>
      </w:pPr>
      <w:r w:rsidRPr="00B155AF">
        <w:rPr>
          <w:rFonts w:ascii="TrebuchetMS" w:hAnsi="TrebuchetMS" w:cs="Times New Roman"/>
          <w:i/>
          <w:sz w:val="20"/>
          <w:szCs w:val="20"/>
          <w:lang w:val="en-US"/>
        </w:rPr>
        <w:t xml:space="preserve">See </w:t>
      </w:r>
      <w:hyperlink r:id="rId15" w:history="1">
        <w:r w:rsidRPr="00B155AF">
          <w:rPr>
            <w:rFonts w:ascii="TrebuchetMS" w:hAnsi="TrebuchetMS" w:cs="Times New Roman"/>
            <w:i/>
            <w:color w:val="0563C1"/>
            <w:sz w:val="20"/>
            <w:szCs w:val="20"/>
            <w:u w:val="single"/>
            <w:lang w:val="en-US"/>
          </w:rPr>
          <w:t>https://acte.be/</w:t>
        </w:r>
      </w:hyperlink>
    </w:p>
    <w:tbl>
      <w:tblPr>
        <w:tblStyle w:val="TableNormal131"/>
        <w:tblpPr w:leftFromText="180" w:rightFromText="180" w:vertAnchor="page" w:horzAnchor="margin" w:tblpY="3556"/>
        <w:tblW w:w="89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05"/>
        <w:gridCol w:w="589"/>
        <w:gridCol w:w="1796"/>
        <w:gridCol w:w="2100"/>
        <w:gridCol w:w="2381"/>
      </w:tblGrid>
      <w:tr w:rsidR="00B155AF" w:rsidRPr="0092495F" w14:paraId="01063939" w14:textId="77777777" w:rsidTr="00860E57">
        <w:trPr>
          <w:trHeight w:val="634"/>
        </w:trPr>
        <w:tc>
          <w:tcPr>
            <w:tcW w:w="2105" w:type="dxa"/>
            <w:tcBorders>
              <w:top w:val="nil"/>
              <w:left w:val="nil"/>
              <w:bottom w:val="nil"/>
              <w:right w:val="nil"/>
            </w:tcBorders>
            <w:shd w:val="clear" w:color="auto" w:fill="auto"/>
            <w:tcMar>
              <w:top w:w="80" w:type="dxa"/>
              <w:left w:w="80" w:type="dxa"/>
              <w:bottom w:w="80" w:type="dxa"/>
              <w:right w:w="80" w:type="dxa"/>
            </w:tcMar>
          </w:tcPr>
          <w:p w14:paraId="40DAF598" w14:textId="6F5FD7BA" w:rsidR="00B155AF" w:rsidRPr="00860E57" w:rsidRDefault="00B155AF" w:rsidP="00B155AF">
            <w:pPr>
              <w:rPr>
                <w:rFonts w:asciiTheme="minorHAnsi" w:hAnsiTheme="minorHAnsi" w:cstheme="minorHAnsi"/>
                <w:b/>
                <w:color w:val="000000"/>
                <w:sz w:val="22"/>
                <w:szCs w:val="22"/>
                <w:u w:color="000000"/>
                <w:lang w:val="en-US"/>
              </w:rPr>
            </w:pPr>
            <w:r w:rsidRPr="00860E57">
              <w:rPr>
                <w:rFonts w:asciiTheme="minorHAnsi" w:hAnsiTheme="minorHAnsi" w:cstheme="minorHAnsi"/>
                <w:b/>
                <w:color w:val="000000"/>
                <w:sz w:val="22"/>
                <w:szCs w:val="22"/>
                <w:u w:color="000000"/>
                <w:lang w:val="en-US"/>
              </w:rPr>
              <w:t>Ilias Konteas</w:t>
            </w:r>
          </w:p>
          <w:p w14:paraId="272C960E" w14:textId="65AD7458" w:rsidR="00920686" w:rsidRDefault="00C2253C" w:rsidP="00B155AF">
            <w:pPr>
              <w:rPr>
                <w:rFonts w:asciiTheme="minorHAnsi" w:eastAsia="Calibri" w:hAnsiTheme="minorHAnsi" w:cs="Calibri"/>
                <w:color w:val="000000"/>
                <w:sz w:val="22"/>
                <w:szCs w:val="22"/>
                <w:u w:color="000000"/>
                <w:lang w:val="nl-BE"/>
              </w:rPr>
            </w:pPr>
            <w:r>
              <w:rPr>
                <w:rFonts w:asciiTheme="minorHAnsi" w:eastAsia="Calibri" w:hAnsiTheme="minorHAnsi" w:cs="Calibri"/>
                <w:color w:val="000000"/>
                <w:sz w:val="22"/>
                <w:szCs w:val="22"/>
                <w:u w:color="000000"/>
                <w:lang w:val="nl-BE"/>
              </w:rPr>
              <w:t>Executive Director</w:t>
            </w:r>
          </w:p>
          <w:p w14:paraId="2B0C9240" w14:textId="77777777" w:rsidR="00B155AF" w:rsidRPr="00B155AF" w:rsidRDefault="00B155AF" w:rsidP="00B155AF">
            <w:pPr>
              <w:rPr>
                <w:rFonts w:asciiTheme="minorHAnsi" w:hAnsiTheme="minorHAnsi" w:cstheme="minorHAnsi"/>
                <w:color w:val="000000"/>
                <w:sz w:val="22"/>
                <w:szCs w:val="22"/>
                <w:u w:color="000000"/>
                <w:lang w:val="nl-BE"/>
              </w:rPr>
            </w:pPr>
            <w:r w:rsidRPr="00B155AF">
              <w:rPr>
                <w:rFonts w:asciiTheme="minorHAnsi" w:eastAsia="Calibri" w:hAnsiTheme="minorHAnsi" w:cs="Calibri"/>
                <w:color w:val="000000"/>
                <w:sz w:val="22"/>
                <w:szCs w:val="22"/>
                <w:u w:color="000000"/>
                <w:lang w:val="nl-BE"/>
              </w:rPr>
              <w:t xml:space="preserve">ENPA </w:t>
            </w:r>
            <w:r w:rsidRPr="00B155AF">
              <w:rPr>
                <w:rFonts w:cstheme="minorHAnsi"/>
                <w:lang w:val="nl-BE"/>
              </w:rPr>
              <w:fldChar w:fldCharType="begin"/>
            </w:r>
            <w:r w:rsidRPr="00B155AF">
              <w:rPr>
                <w:rFonts w:asciiTheme="minorHAnsi" w:hAnsiTheme="minorHAnsi" w:cstheme="minorHAnsi"/>
                <w:sz w:val="22"/>
                <w:szCs w:val="22"/>
                <w:lang w:val="nl-BE"/>
              </w:rPr>
              <w:instrText xml:space="preserve"> HYPERLINK "mailto:ilias.kontes@enpa.eu" </w:instrText>
            </w:r>
            <w:r w:rsidRPr="00B155AF">
              <w:rPr>
                <w:rFonts w:cstheme="minorHAnsi"/>
                <w:lang w:val="nl-BE"/>
              </w:rPr>
              <w:fldChar w:fldCharType="separate"/>
            </w:r>
            <w:r w:rsidRPr="00B155AF">
              <w:rPr>
                <w:rFonts w:asciiTheme="minorHAnsi" w:hAnsiTheme="minorHAnsi" w:cstheme="minorHAnsi"/>
                <w:sz w:val="22"/>
                <w:szCs w:val="22"/>
                <w:lang w:val="nl-BE"/>
              </w:rPr>
              <w:t>ilias.kontes@enpa.eu</w:t>
            </w:r>
            <w:r w:rsidRPr="00B155AF">
              <w:rPr>
                <w:rFonts w:cstheme="minorHAnsi"/>
                <w:lang w:val="nl-BE"/>
              </w:rPr>
              <w:fldChar w:fldCharType="end"/>
            </w:r>
          </w:p>
          <w:p w14:paraId="1C536669" w14:textId="77777777" w:rsidR="00B155AF" w:rsidRPr="00860E57" w:rsidRDefault="00B155AF" w:rsidP="00B155AF">
            <w:pPr>
              <w:rPr>
                <w:rFonts w:asciiTheme="minorHAnsi" w:hAnsiTheme="minorHAnsi" w:cstheme="minorHAnsi"/>
                <w:b/>
                <w:color w:val="000000"/>
                <w:sz w:val="22"/>
                <w:szCs w:val="22"/>
                <w:u w:color="000000"/>
                <w:lang w:val="nl-BE"/>
              </w:rPr>
            </w:pPr>
            <w:r w:rsidRPr="00B155AF">
              <w:rPr>
                <w:rFonts w:asciiTheme="minorHAnsi" w:hAnsiTheme="minorHAnsi" w:cstheme="minorHAnsi"/>
                <w:color w:val="000000"/>
                <w:sz w:val="22"/>
                <w:szCs w:val="22"/>
                <w:u w:color="000000"/>
                <w:lang w:val="nl-BE"/>
              </w:rPr>
              <w:t xml:space="preserve">  </w:t>
            </w:r>
            <w:r w:rsidRPr="00B155AF">
              <w:rPr>
                <w:rFonts w:asciiTheme="minorHAnsi" w:eastAsia="Calibri" w:hAnsiTheme="minorHAnsi" w:cs="Calibri"/>
                <w:color w:val="000000"/>
                <w:sz w:val="22"/>
                <w:szCs w:val="22"/>
                <w:u w:color="000000"/>
                <w:lang w:val="nl-BE"/>
              </w:rPr>
              <w:br/>
            </w:r>
            <w:hyperlink r:id="rId16" w:history="1">
              <w:r w:rsidRPr="00B155AF">
                <w:rPr>
                  <w:rFonts w:asciiTheme="minorHAnsi" w:eastAsia="Calibri" w:hAnsiTheme="minorHAnsi" w:cs="Calibri"/>
                  <w:color w:val="0563C1" w:themeColor="hyperlink"/>
                  <w:sz w:val="22"/>
                  <w:szCs w:val="22"/>
                  <w:u w:val="single" w:color="000000"/>
                  <w:lang w:val="nl-BE"/>
                </w:rPr>
                <w:t>www.enpa.eu</w:t>
              </w:r>
            </w:hyperlink>
          </w:p>
          <w:p w14:paraId="468C96B9" w14:textId="77777777" w:rsidR="00B155AF" w:rsidRPr="00860E57" w:rsidRDefault="00B155AF" w:rsidP="00B155AF">
            <w:pPr>
              <w:rPr>
                <w:rFonts w:ascii="Calibri" w:eastAsia="Calibri" w:hAnsi="Calibri" w:cs="Calibri"/>
                <w:noProof/>
                <w:color w:val="000000"/>
                <w:sz w:val="24"/>
                <w:szCs w:val="24"/>
                <w:u w:color="000000"/>
                <w:lang w:val="nl-BE" w:eastAsia="en-US"/>
              </w:rPr>
            </w:pPr>
          </w:p>
        </w:tc>
        <w:tc>
          <w:tcPr>
            <w:tcW w:w="2385" w:type="dxa"/>
            <w:gridSpan w:val="2"/>
            <w:tcBorders>
              <w:top w:val="nil"/>
              <w:left w:val="nil"/>
              <w:bottom w:val="nil"/>
              <w:right w:val="nil"/>
            </w:tcBorders>
            <w:shd w:val="clear" w:color="auto" w:fill="auto"/>
            <w:tcMar>
              <w:top w:w="80" w:type="dxa"/>
              <w:left w:w="80" w:type="dxa"/>
              <w:bottom w:w="80" w:type="dxa"/>
              <w:right w:w="80" w:type="dxa"/>
            </w:tcMar>
          </w:tcPr>
          <w:p w14:paraId="74856695" w14:textId="443DA82B" w:rsidR="00920686" w:rsidRDefault="00B155AF" w:rsidP="00B155AF">
            <w:pPr>
              <w:rPr>
                <w:rFonts w:asciiTheme="minorHAnsi" w:hAnsiTheme="minorHAnsi" w:cstheme="minorHAnsi"/>
                <w:color w:val="000000"/>
                <w:sz w:val="22"/>
                <w:szCs w:val="22"/>
                <w:u w:color="000000"/>
                <w:lang w:val="en-GB"/>
              </w:rPr>
            </w:pPr>
            <w:r w:rsidRPr="00B155AF">
              <w:rPr>
                <w:rFonts w:asciiTheme="minorHAnsi" w:hAnsiTheme="minorHAnsi" w:cstheme="minorHAnsi"/>
                <w:b/>
                <w:color w:val="000000"/>
                <w:sz w:val="22"/>
                <w:szCs w:val="22"/>
                <w:u w:color="000000"/>
                <w:lang w:val="en-GB"/>
              </w:rPr>
              <w:t>Ilias Konteas</w:t>
            </w:r>
            <w:r w:rsidRPr="00B155AF">
              <w:rPr>
                <w:rFonts w:asciiTheme="minorHAnsi" w:hAnsiTheme="minorHAnsi" w:cstheme="minorHAnsi"/>
                <w:b/>
                <w:color w:val="000000"/>
                <w:sz w:val="22"/>
                <w:szCs w:val="22"/>
                <w:u w:color="000000"/>
                <w:lang w:val="en-GB"/>
              </w:rPr>
              <w:br/>
            </w:r>
            <w:r w:rsidR="00C2253C">
              <w:rPr>
                <w:rFonts w:asciiTheme="minorHAnsi" w:hAnsiTheme="minorHAnsi" w:cstheme="minorHAnsi"/>
                <w:color w:val="000000"/>
                <w:sz w:val="22"/>
                <w:szCs w:val="22"/>
                <w:u w:color="000000"/>
                <w:lang w:val="en-GB"/>
              </w:rPr>
              <w:t>Executive Director</w:t>
            </w:r>
          </w:p>
          <w:p w14:paraId="1A7F031D" w14:textId="77777777" w:rsidR="00B155AF" w:rsidRPr="00B155AF" w:rsidRDefault="00B155AF" w:rsidP="00B155AF">
            <w:pPr>
              <w:rPr>
                <w:rFonts w:ascii="Calibri" w:eastAsia="Calibri" w:hAnsi="Calibri" w:cs="Calibri"/>
                <w:b/>
                <w:color w:val="000000"/>
                <w:sz w:val="22"/>
                <w:szCs w:val="24"/>
                <w:u w:color="000000"/>
              </w:rPr>
            </w:pPr>
            <w:r w:rsidRPr="00B155AF">
              <w:rPr>
                <w:rFonts w:asciiTheme="minorHAnsi" w:hAnsiTheme="minorHAnsi" w:cstheme="minorHAnsi"/>
                <w:color w:val="000000"/>
                <w:sz w:val="22"/>
                <w:szCs w:val="22"/>
                <w:u w:color="000000"/>
                <w:lang w:val="en-GB"/>
              </w:rPr>
              <w:t xml:space="preserve">EMMA </w:t>
            </w:r>
            <w:proofErr w:type="spellStart"/>
            <w:r w:rsidRPr="00B155AF">
              <w:rPr>
                <w:rFonts w:asciiTheme="minorHAnsi" w:hAnsiTheme="minorHAnsi" w:cstheme="minorHAnsi"/>
                <w:color w:val="000000"/>
                <w:sz w:val="22"/>
                <w:szCs w:val="22"/>
                <w:u w:color="000000"/>
                <w:lang w:val="en-GB"/>
              </w:rPr>
              <w:t>ilias.konteas@magazine</w:t>
            </w:r>
            <w:proofErr w:type="spellEnd"/>
            <w:r w:rsidRPr="00B155AF">
              <w:rPr>
                <w:rFonts w:asciiTheme="minorHAnsi" w:hAnsiTheme="minorHAnsi" w:cstheme="minorHAnsi"/>
                <w:color w:val="000000"/>
                <w:sz w:val="22"/>
                <w:szCs w:val="22"/>
                <w:u w:color="000000"/>
                <w:lang w:val="en-GB"/>
              </w:rPr>
              <w:t xml:space="preserve"> media.eu  </w:t>
            </w:r>
            <w:hyperlink r:id="rId17" w:history="1">
              <w:r w:rsidRPr="00B155AF">
                <w:rPr>
                  <w:rFonts w:ascii="Calibri" w:eastAsia="Calibri" w:hAnsi="Calibri" w:cs="Calibri"/>
                  <w:color w:val="0563C1" w:themeColor="hyperlink"/>
                  <w:sz w:val="22"/>
                  <w:szCs w:val="18"/>
                  <w:u w:val="single" w:color="000000"/>
                  <w:lang w:val="en-US"/>
                </w:rPr>
                <w:t>www.magazinemedia.eu</w:t>
              </w:r>
            </w:hyperlink>
          </w:p>
          <w:p w14:paraId="15A72317" w14:textId="77777777" w:rsidR="00B155AF" w:rsidRPr="00B155AF" w:rsidRDefault="00B155AF" w:rsidP="00B155AF">
            <w:pPr>
              <w:rPr>
                <w:rFonts w:ascii="Calibri" w:eastAsia="Calibri" w:hAnsi="Calibri" w:cs="Calibri"/>
                <w:noProof/>
                <w:color w:val="000000"/>
                <w:sz w:val="24"/>
                <w:szCs w:val="24"/>
                <w:u w:color="000000"/>
                <w:lang w:val="en-US" w:eastAsia="en-US"/>
              </w:rPr>
            </w:pPr>
          </w:p>
        </w:tc>
        <w:tc>
          <w:tcPr>
            <w:tcW w:w="2100" w:type="dxa"/>
            <w:tcBorders>
              <w:top w:val="nil"/>
              <w:left w:val="nil"/>
              <w:bottom w:val="nil"/>
              <w:right w:val="nil"/>
            </w:tcBorders>
            <w:shd w:val="clear" w:color="auto" w:fill="auto"/>
            <w:tcMar>
              <w:top w:w="80" w:type="dxa"/>
              <w:left w:w="80" w:type="dxa"/>
              <w:bottom w:w="80" w:type="dxa"/>
              <w:right w:w="80" w:type="dxa"/>
            </w:tcMar>
          </w:tcPr>
          <w:p w14:paraId="47F9DBA2" w14:textId="77777777" w:rsidR="00B155AF" w:rsidRPr="00B155AF" w:rsidRDefault="00B155AF" w:rsidP="00B155AF">
            <w:pPr>
              <w:rPr>
                <w:rFonts w:ascii="Calibri" w:eastAsia="Calibri" w:hAnsi="Calibri" w:cs="Calibri"/>
                <w:b/>
                <w:color w:val="000000"/>
                <w:sz w:val="22"/>
                <w:szCs w:val="24"/>
                <w:u w:color="000000"/>
              </w:rPr>
            </w:pPr>
            <w:r w:rsidRPr="00B155AF">
              <w:rPr>
                <w:rFonts w:ascii="Calibri" w:eastAsia="Calibri" w:hAnsi="Calibri" w:cs="Calibri"/>
                <w:b/>
                <w:color w:val="000000"/>
                <w:sz w:val="22"/>
                <w:szCs w:val="24"/>
                <w:u w:color="000000"/>
              </w:rPr>
              <w:t>Angela Mills Wade</w:t>
            </w:r>
          </w:p>
          <w:p w14:paraId="3CBD579E" w14:textId="3FC206E5" w:rsidR="00920686" w:rsidRDefault="00F16FEA" w:rsidP="00B155AF">
            <w:pPr>
              <w:rPr>
                <w:rFonts w:ascii="Calibri" w:eastAsia="Calibri" w:hAnsi="Calibri" w:cs="Calibri"/>
                <w:color w:val="000000"/>
                <w:sz w:val="22"/>
                <w:szCs w:val="24"/>
                <w:u w:color="000000"/>
              </w:rPr>
            </w:pPr>
            <w:r>
              <w:rPr>
                <w:rFonts w:ascii="Calibri" w:eastAsia="Calibri" w:hAnsi="Calibri" w:cs="Calibri"/>
                <w:color w:val="000000"/>
                <w:sz w:val="22"/>
                <w:szCs w:val="24"/>
                <w:u w:color="000000"/>
              </w:rPr>
              <w:t xml:space="preserve">Executive </w:t>
            </w:r>
            <w:proofErr w:type="spellStart"/>
            <w:r w:rsidR="00C2253C">
              <w:rPr>
                <w:rFonts w:ascii="Calibri" w:eastAsia="Calibri" w:hAnsi="Calibri" w:cs="Calibri"/>
                <w:color w:val="000000"/>
                <w:sz w:val="22"/>
                <w:szCs w:val="24"/>
                <w:u w:color="000000"/>
              </w:rPr>
              <w:t>Director</w:t>
            </w:r>
            <w:proofErr w:type="spellEnd"/>
          </w:p>
          <w:p w14:paraId="576BAB1E" w14:textId="77777777" w:rsidR="00B155AF" w:rsidRPr="00B155AF" w:rsidRDefault="00B155AF" w:rsidP="00B155AF">
            <w:pPr>
              <w:rPr>
                <w:rFonts w:ascii="Calibri" w:eastAsia="Calibri" w:hAnsi="Calibri" w:cs="Calibri"/>
                <w:color w:val="000000"/>
                <w:sz w:val="22"/>
                <w:szCs w:val="24"/>
                <w:u w:color="000000"/>
              </w:rPr>
            </w:pPr>
            <w:r w:rsidRPr="00B155AF">
              <w:rPr>
                <w:rFonts w:ascii="Calibri" w:eastAsia="Calibri" w:hAnsi="Calibri" w:cs="Calibri"/>
                <w:color w:val="000000"/>
                <w:sz w:val="22"/>
                <w:szCs w:val="24"/>
                <w:u w:color="000000"/>
              </w:rPr>
              <w:t>EPC</w:t>
            </w:r>
          </w:p>
          <w:p w14:paraId="589092DC" w14:textId="77777777" w:rsidR="00B155AF" w:rsidRPr="00860E57" w:rsidRDefault="00B155AF" w:rsidP="00B155AF">
            <w:pPr>
              <w:rPr>
                <w:rFonts w:asciiTheme="minorHAnsi" w:hAnsiTheme="minorHAnsi" w:cstheme="minorHAnsi"/>
                <w:b/>
                <w:color w:val="000000"/>
                <w:sz w:val="22"/>
                <w:szCs w:val="22"/>
                <w:u w:color="000000"/>
              </w:rPr>
            </w:pPr>
            <w:r w:rsidRPr="00B155AF">
              <w:rPr>
                <w:rFonts w:ascii="Calibri" w:eastAsia="Calibri" w:hAnsi="Calibri" w:cs="Calibri"/>
                <w:color w:val="000000"/>
                <w:sz w:val="22"/>
                <w:szCs w:val="24"/>
                <w:u w:color="000000"/>
              </w:rPr>
              <w:t xml:space="preserve">Angela.MillsWade@epceurope.eu  </w:t>
            </w:r>
            <w:r w:rsidRPr="00B155AF">
              <w:rPr>
                <w:rFonts w:ascii="Calibri" w:eastAsia="Calibri" w:hAnsi="Calibri" w:cs="Calibri"/>
                <w:color w:val="000000"/>
                <w:sz w:val="22"/>
                <w:szCs w:val="24"/>
                <w:u w:color="000000"/>
              </w:rPr>
              <w:br/>
            </w:r>
            <w:hyperlink w:history="1"/>
            <w:hyperlink r:id="rId18" w:history="1">
              <w:r w:rsidRPr="00B30CE1">
                <w:rPr>
                  <w:rFonts w:ascii="Calibri" w:eastAsia="Calibri" w:hAnsi="Calibri" w:cs="Calibri"/>
                  <w:color w:val="0563C1" w:themeColor="hyperlink"/>
                  <w:szCs w:val="18"/>
                  <w:u w:val="single" w:color="000000"/>
                </w:rPr>
                <w:t>www.epceurope.eu</w:t>
              </w:r>
            </w:hyperlink>
          </w:p>
          <w:p w14:paraId="3D5EF084" w14:textId="77777777" w:rsidR="00B155AF" w:rsidRPr="00B155AF" w:rsidRDefault="00B155AF" w:rsidP="00B155AF">
            <w:pPr>
              <w:rPr>
                <w:rFonts w:cs="Arial Unicode MS"/>
                <w:color w:val="000000"/>
                <w:sz w:val="24"/>
                <w:szCs w:val="24"/>
                <w:u w:color="000000"/>
              </w:rPr>
            </w:pPr>
          </w:p>
        </w:tc>
        <w:tc>
          <w:tcPr>
            <w:tcW w:w="2381" w:type="dxa"/>
            <w:tcBorders>
              <w:top w:val="nil"/>
              <w:left w:val="nil"/>
              <w:bottom w:val="nil"/>
              <w:right w:val="nil"/>
            </w:tcBorders>
            <w:shd w:val="clear" w:color="auto" w:fill="auto"/>
            <w:tcMar>
              <w:top w:w="80" w:type="dxa"/>
              <w:left w:w="80" w:type="dxa"/>
              <w:bottom w:w="80" w:type="dxa"/>
              <w:right w:w="80" w:type="dxa"/>
            </w:tcMar>
          </w:tcPr>
          <w:p w14:paraId="7E3DD5AF" w14:textId="31C069E0" w:rsidR="00B155AF" w:rsidRPr="00B155AF" w:rsidRDefault="00F16FEA" w:rsidP="00B155AF">
            <w:pPr>
              <w:rPr>
                <w:rFonts w:asciiTheme="minorHAnsi" w:hAnsiTheme="minorHAnsi" w:cstheme="minorHAnsi"/>
                <w:b/>
                <w:color w:val="000000"/>
                <w:sz w:val="22"/>
                <w:szCs w:val="22"/>
                <w:u w:color="000000"/>
                <w:lang w:val="nl-BE"/>
              </w:rPr>
            </w:pPr>
            <w:r>
              <w:rPr>
                <w:rFonts w:asciiTheme="minorHAnsi" w:hAnsiTheme="minorHAnsi" w:cstheme="minorHAnsi"/>
                <w:b/>
                <w:color w:val="000000"/>
                <w:sz w:val="22"/>
                <w:szCs w:val="22"/>
                <w:u w:color="000000"/>
                <w:lang w:val="nl-BE"/>
              </w:rPr>
              <w:t>Wout van Wijk</w:t>
            </w:r>
            <w:r w:rsidR="00B155AF" w:rsidRPr="00B155AF">
              <w:rPr>
                <w:rFonts w:asciiTheme="minorHAnsi" w:hAnsiTheme="minorHAnsi" w:cstheme="minorHAnsi"/>
                <w:b/>
                <w:color w:val="000000"/>
                <w:sz w:val="22"/>
                <w:szCs w:val="22"/>
                <w:u w:color="000000"/>
                <w:lang w:val="nl-BE"/>
              </w:rPr>
              <w:t xml:space="preserve"> </w:t>
            </w:r>
          </w:p>
          <w:p w14:paraId="46D71B0B" w14:textId="402F9DEB" w:rsidR="00920686" w:rsidRDefault="00F16FEA" w:rsidP="00B155AF">
            <w:pPr>
              <w:rPr>
                <w:rFonts w:asciiTheme="minorHAnsi" w:hAnsiTheme="minorHAnsi" w:cstheme="minorHAnsi"/>
                <w:color w:val="000000"/>
                <w:sz w:val="22"/>
                <w:szCs w:val="22"/>
                <w:u w:color="000000"/>
                <w:lang w:val="nl-BE"/>
              </w:rPr>
            </w:pPr>
            <w:r>
              <w:rPr>
                <w:rFonts w:asciiTheme="minorHAnsi" w:hAnsiTheme="minorHAnsi" w:cstheme="minorHAnsi"/>
                <w:color w:val="000000"/>
                <w:sz w:val="22"/>
                <w:szCs w:val="22"/>
                <w:u w:color="000000"/>
                <w:lang w:val="nl-BE"/>
              </w:rPr>
              <w:t xml:space="preserve">Executive </w:t>
            </w:r>
            <w:r w:rsidR="00C2253C">
              <w:rPr>
                <w:rFonts w:asciiTheme="minorHAnsi" w:hAnsiTheme="minorHAnsi" w:cstheme="minorHAnsi"/>
                <w:color w:val="000000"/>
                <w:sz w:val="22"/>
                <w:szCs w:val="22"/>
                <w:u w:color="000000"/>
                <w:lang w:val="nl-BE"/>
              </w:rPr>
              <w:t>Director</w:t>
            </w:r>
          </w:p>
          <w:p w14:paraId="253BA3B2" w14:textId="77777777" w:rsidR="00B155AF" w:rsidRPr="00B155AF" w:rsidRDefault="00B155AF" w:rsidP="00B155AF">
            <w:pPr>
              <w:rPr>
                <w:rFonts w:asciiTheme="minorHAnsi" w:hAnsiTheme="minorHAnsi" w:cstheme="minorHAnsi"/>
                <w:color w:val="000000"/>
                <w:sz w:val="22"/>
                <w:szCs w:val="22"/>
                <w:u w:color="000000"/>
                <w:lang w:val="nl-BE"/>
              </w:rPr>
            </w:pPr>
            <w:r w:rsidRPr="00B155AF">
              <w:rPr>
                <w:rFonts w:asciiTheme="minorHAnsi" w:hAnsiTheme="minorHAnsi" w:cstheme="minorHAnsi"/>
                <w:color w:val="000000"/>
                <w:sz w:val="22"/>
                <w:szCs w:val="22"/>
                <w:u w:color="000000"/>
                <w:lang w:val="nl-BE"/>
              </w:rPr>
              <w:t>NME</w:t>
            </w:r>
          </w:p>
          <w:p w14:paraId="7C03A6B9" w14:textId="77777777" w:rsidR="00B155AF" w:rsidRPr="00B155AF" w:rsidRDefault="00B155AF" w:rsidP="00B155AF">
            <w:pPr>
              <w:rPr>
                <w:rFonts w:asciiTheme="minorHAnsi" w:hAnsiTheme="minorHAnsi" w:cstheme="minorHAnsi"/>
                <w:color w:val="000000"/>
                <w:sz w:val="22"/>
                <w:szCs w:val="22"/>
                <w:u w:color="000000"/>
                <w:lang w:val="nl-BE"/>
              </w:rPr>
            </w:pPr>
            <w:r w:rsidRPr="00B155AF">
              <w:rPr>
                <w:rFonts w:asciiTheme="minorHAnsi" w:hAnsiTheme="minorHAnsi" w:cstheme="minorHAnsi"/>
                <w:color w:val="000000"/>
                <w:sz w:val="22"/>
                <w:szCs w:val="22"/>
                <w:u w:color="000000"/>
                <w:lang w:val="nl-BE"/>
              </w:rPr>
              <w:t xml:space="preserve">wout.vanwijk@newsmedia europe.eu  </w:t>
            </w:r>
          </w:p>
          <w:p w14:paraId="331FF6DA" w14:textId="77777777" w:rsidR="00B155AF" w:rsidRPr="00860E57" w:rsidRDefault="0092495F" w:rsidP="00B155AF">
            <w:pPr>
              <w:rPr>
                <w:rFonts w:asciiTheme="minorHAnsi" w:hAnsiTheme="minorHAnsi" w:cs="Arial Unicode MS"/>
                <w:b/>
                <w:noProof/>
                <w:color w:val="000000"/>
                <w:sz w:val="22"/>
                <w:szCs w:val="22"/>
                <w:u w:color="000000"/>
                <w:lang w:val="fr-FR" w:eastAsia="en-US"/>
              </w:rPr>
            </w:pPr>
            <w:hyperlink r:id="rId19" w:history="1">
              <w:r w:rsidR="00B155AF" w:rsidRPr="00B155AF">
                <w:rPr>
                  <w:rFonts w:ascii="Calibri" w:eastAsia="Calibri" w:hAnsi="Calibri" w:cs="Calibri"/>
                  <w:color w:val="0563C1" w:themeColor="hyperlink"/>
                  <w:sz w:val="22"/>
                  <w:szCs w:val="18"/>
                  <w:u w:val="single" w:color="000000"/>
                  <w:lang w:val="nl-BE"/>
                </w:rPr>
                <w:t>www.newsmediaeurope.eu</w:t>
              </w:r>
            </w:hyperlink>
          </w:p>
          <w:p w14:paraId="6C4DD58B" w14:textId="77777777" w:rsidR="00B155AF" w:rsidRPr="00860E57" w:rsidRDefault="00B155AF" w:rsidP="00B155AF">
            <w:pPr>
              <w:jc w:val="both"/>
              <w:rPr>
                <w:lang w:val="fr-FR"/>
              </w:rPr>
            </w:pPr>
          </w:p>
        </w:tc>
      </w:tr>
      <w:tr w:rsidR="00B155AF" w:rsidRPr="00B155AF" w14:paraId="12526056" w14:textId="77777777" w:rsidTr="00860E57">
        <w:trPr>
          <w:trHeight w:val="634"/>
        </w:trPr>
        <w:tc>
          <w:tcPr>
            <w:tcW w:w="2105" w:type="dxa"/>
            <w:tcBorders>
              <w:top w:val="nil"/>
              <w:left w:val="nil"/>
              <w:bottom w:val="nil"/>
              <w:right w:val="nil"/>
            </w:tcBorders>
            <w:shd w:val="clear" w:color="auto" w:fill="auto"/>
            <w:tcMar>
              <w:top w:w="80" w:type="dxa"/>
              <w:left w:w="80" w:type="dxa"/>
              <w:bottom w:w="80" w:type="dxa"/>
              <w:right w:w="80" w:type="dxa"/>
            </w:tcMar>
          </w:tcPr>
          <w:p w14:paraId="66CDFFC5" w14:textId="57918D1D" w:rsidR="00B155AF" w:rsidRPr="00B155AF" w:rsidRDefault="00B155AF" w:rsidP="00860E57">
            <w:pPr>
              <w:spacing w:before="120"/>
              <w:rPr>
                <w:rFonts w:asciiTheme="minorHAnsi" w:hAnsiTheme="minorHAnsi" w:cstheme="minorHAnsi"/>
                <w:b/>
                <w:color w:val="000000"/>
                <w:sz w:val="22"/>
                <w:szCs w:val="22"/>
                <w:u w:color="000000"/>
                <w:lang w:val="en-GB"/>
              </w:rPr>
            </w:pPr>
            <w:r w:rsidRPr="00B155AF">
              <w:rPr>
                <w:rFonts w:ascii="Calibri" w:eastAsia="Calibri" w:hAnsi="Calibri" w:cs="Calibri"/>
                <w:noProof/>
                <w:color w:val="000000"/>
                <w:sz w:val="24"/>
                <w:szCs w:val="24"/>
                <w:u w:color="000000"/>
                <w:lang w:val="fr-CH" w:eastAsia="fr-CH"/>
              </w:rPr>
              <w:drawing>
                <wp:inline distT="0" distB="0" distL="0" distR="0" wp14:anchorId="7D4672D1" wp14:editId="5297978C">
                  <wp:extent cx="1149906" cy="305285"/>
                  <wp:effectExtent l="0" t="0" r="0" b="0"/>
                  <wp:docPr id="2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5320" cy="314687"/>
                          </a:xfrm>
                          <a:prstGeom prst="rect">
                            <a:avLst/>
                          </a:prstGeom>
                          <a:noFill/>
                          <a:ln>
                            <a:noFill/>
                          </a:ln>
                        </pic:spPr>
                      </pic:pic>
                    </a:graphicData>
                  </a:graphic>
                </wp:inline>
              </w:drawing>
            </w:r>
          </w:p>
        </w:tc>
        <w:tc>
          <w:tcPr>
            <w:tcW w:w="2385" w:type="dxa"/>
            <w:gridSpan w:val="2"/>
            <w:tcBorders>
              <w:top w:val="nil"/>
              <w:left w:val="nil"/>
              <w:bottom w:val="nil"/>
              <w:right w:val="nil"/>
            </w:tcBorders>
            <w:shd w:val="clear" w:color="auto" w:fill="auto"/>
            <w:tcMar>
              <w:top w:w="80" w:type="dxa"/>
              <w:left w:w="80" w:type="dxa"/>
              <w:bottom w:w="80" w:type="dxa"/>
              <w:right w:w="80" w:type="dxa"/>
            </w:tcMar>
          </w:tcPr>
          <w:p w14:paraId="07DA0E06" w14:textId="77777777" w:rsidR="00B155AF" w:rsidRPr="00B155AF" w:rsidRDefault="00B155AF" w:rsidP="00B155AF">
            <w:pPr>
              <w:rPr>
                <w:rFonts w:ascii="Calibri" w:eastAsia="Calibri" w:hAnsi="Calibri" w:cs="Calibri"/>
                <w:b/>
                <w:color w:val="000000"/>
                <w:sz w:val="22"/>
                <w:szCs w:val="24"/>
                <w:u w:color="000000"/>
              </w:rPr>
            </w:pPr>
            <w:r w:rsidRPr="00B155AF">
              <w:rPr>
                <w:rFonts w:ascii="Calibri" w:eastAsia="Calibri" w:hAnsi="Calibri" w:cs="Calibri"/>
                <w:noProof/>
                <w:color w:val="000000"/>
                <w:sz w:val="24"/>
                <w:szCs w:val="24"/>
                <w:u w:color="000000"/>
                <w:lang w:val="fr-CH" w:eastAsia="fr-CH"/>
              </w:rPr>
              <w:drawing>
                <wp:inline distT="0" distB="0" distL="0" distR="0" wp14:anchorId="7CC8192D" wp14:editId="237AC265">
                  <wp:extent cx="1209675" cy="447675"/>
                  <wp:effectExtent l="0" t="0" r="9525" b="9525"/>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tc>
        <w:tc>
          <w:tcPr>
            <w:tcW w:w="2100" w:type="dxa"/>
            <w:tcBorders>
              <w:top w:val="nil"/>
              <w:left w:val="nil"/>
              <w:bottom w:val="nil"/>
              <w:right w:val="nil"/>
            </w:tcBorders>
            <w:shd w:val="clear" w:color="auto" w:fill="auto"/>
            <w:tcMar>
              <w:top w:w="80" w:type="dxa"/>
              <w:left w:w="80" w:type="dxa"/>
              <w:bottom w:w="80" w:type="dxa"/>
              <w:right w:w="80" w:type="dxa"/>
            </w:tcMar>
          </w:tcPr>
          <w:p w14:paraId="5358B8DF" w14:textId="77777777" w:rsidR="00B155AF" w:rsidRPr="00B155AF" w:rsidRDefault="00B155AF" w:rsidP="00B155AF">
            <w:pPr>
              <w:rPr>
                <w:rFonts w:asciiTheme="minorHAnsi" w:hAnsiTheme="minorHAnsi" w:cstheme="minorHAnsi"/>
                <w:b/>
                <w:color w:val="000000"/>
                <w:sz w:val="22"/>
                <w:szCs w:val="22"/>
                <w:u w:color="000000"/>
                <w:lang w:val="nl-BE"/>
              </w:rPr>
            </w:pPr>
            <w:r w:rsidRPr="00B155AF">
              <w:rPr>
                <w:rFonts w:ascii="Calibri" w:eastAsia="Calibri" w:hAnsi="Calibri" w:cs="Calibri"/>
                <w:b/>
                <w:noProof/>
                <w:color w:val="000000"/>
                <w:szCs w:val="24"/>
                <w:u w:color="000000"/>
                <w:lang w:val="fr-CH" w:eastAsia="fr-CH"/>
              </w:rPr>
              <w:drawing>
                <wp:inline distT="0" distB="0" distL="0" distR="0" wp14:anchorId="378057A9" wp14:editId="51AFC65C">
                  <wp:extent cx="1207135" cy="420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7135" cy="420370"/>
                          </a:xfrm>
                          <a:prstGeom prst="rect">
                            <a:avLst/>
                          </a:prstGeom>
                          <a:noFill/>
                        </pic:spPr>
                      </pic:pic>
                    </a:graphicData>
                  </a:graphic>
                </wp:inline>
              </w:drawing>
            </w:r>
          </w:p>
        </w:tc>
        <w:tc>
          <w:tcPr>
            <w:tcW w:w="2381" w:type="dxa"/>
            <w:tcBorders>
              <w:top w:val="nil"/>
              <w:left w:val="nil"/>
              <w:bottom w:val="nil"/>
              <w:right w:val="nil"/>
            </w:tcBorders>
            <w:shd w:val="clear" w:color="auto" w:fill="auto"/>
            <w:tcMar>
              <w:top w:w="80" w:type="dxa"/>
              <w:left w:w="80" w:type="dxa"/>
              <w:bottom w:w="80" w:type="dxa"/>
              <w:right w:w="80" w:type="dxa"/>
            </w:tcMar>
          </w:tcPr>
          <w:p w14:paraId="0DB921CD" w14:textId="77777777" w:rsidR="00B155AF" w:rsidRPr="00B155AF" w:rsidRDefault="00B155AF" w:rsidP="00860E57">
            <w:pPr>
              <w:spacing w:before="120"/>
              <w:rPr>
                <w:rFonts w:cs="Arial Unicode MS"/>
                <w:noProof/>
                <w:color w:val="000000"/>
                <w:sz w:val="24"/>
                <w:szCs w:val="24"/>
                <w:u w:color="000000"/>
                <w:lang w:val="en-US" w:eastAsia="en-US"/>
              </w:rPr>
            </w:pPr>
            <w:r w:rsidRPr="00B155AF">
              <w:rPr>
                <w:rFonts w:cstheme="minorHAnsi"/>
                <w:b/>
                <w:noProof/>
                <w:color w:val="000000"/>
                <w:u w:color="000000"/>
                <w:lang w:val="fr-CH" w:eastAsia="fr-CH"/>
              </w:rPr>
              <w:drawing>
                <wp:inline distT="0" distB="0" distL="0" distR="0" wp14:anchorId="5F599AB3" wp14:editId="0B90B8B8">
                  <wp:extent cx="124396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292735"/>
                          </a:xfrm>
                          <a:prstGeom prst="rect">
                            <a:avLst/>
                          </a:prstGeom>
                          <a:noFill/>
                        </pic:spPr>
                      </pic:pic>
                    </a:graphicData>
                  </a:graphic>
                </wp:inline>
              </w:drawing>
            </w:r>
          </w:p>
        </w:tc>
      </w:tr>
      <w:tr w:rsidR="00F16FEA" w:rsidRPr="00B155AF" w14:paraId="33D388CB" w14:textId="77777777" w:rsidTr="00860E57">
        <w:trPr>
          <w:trHeight w:val="634"/>
        </w:trPr>
        <w:tc>
          <w:tcPr>
            <w:tcW w:w="2694" w:type="dxa"/>
            <w:gridSpan w:val="2"/>
            <w:tcBorders>
              <w:top w:val="nil"/>
              <w:left w:val="nil"/>
              <w:bottom w:val="nil"/>
              <w:right w:val="nil"/>
            </w:tcBorders>
            <w:shd w:val="clear" w:color="auto" w:fill="auto"/>
            <w:tcMar>
              <w:top w:w="80" w:type="dxa"/>
              <w:left w:w="80" w:type="dxa"/>
              <w:bottom w:w="80" w:type="dxa"/>
              <w:right w:w="80" w:type="dxa"/>
            </w:tcMar>
          </w:tcPr>
          <w:p w14:paraId="77885366" w14:textId="0B1CD1B0" w:rsidR="00F16FEA" w:rsidRDefault="00F16FEA" w:rsidP="00F16FEA">
            <w:pPr>
              <w:rPr>
                <w:rFonts w:ascii="Calibri" w:eastAsia="Calibri" w:hAnsi="Calibri" w:cs="Calibri"/>
                <w:b/>
                <w:noProof/>
                <w:color w:val="000000"/>
                <w:sz w:val="22"/>
                <w:szCs w:val="22"/>
                <w:u w:color="000000"/>
                <w:lang w:val="en-US"/>
              </w:rPr>
            </w:pPr>
            <w:r>
              <w:rPr>
                <w:rFonts w:ascii="Calibri" w:eastAsia="Calibri" w:hAnsi="Calibri" w:cs="Calibri"/>
                <w:b/>
                <w:noProof/>
                <w:color w:val="000000"/>
                <w:sz w:val="22"/>
                <w:szCs w:val="22"/>
                <w:u w:color="000000"/>
                <w:lang w:val="en-US"/>
              </w:rPr>
              <w:t>Rich</w:t>
            </w:r>
            <w:r w:rsidRPr="0077321B">
              <w:rPr>
                <w:rFonts w:ascii="Calibri" w:eastAsia="Calibri" w:hAnsi="Calibri" w:cs="Calibri"/>
                <w:b/>
                <w:noProof/>
                <w:color w:val="000000"/>
                <w:sz w:val="22"/>
                <w:szCs w:val="22"/>
                <w:u w:color="000000"/>
                <w:lang w:val="en-US"/>
              </w:rPr>
              <w:t>ard Polacek</w:t>
            </w:r>
          </w:p>
          <w:p w14:paraId="45355C3F" w14:textId="4FB5D5C8" w:rsidR="00920686" w:rsidRDefault="00F16FEA" w:rsidP="00F16FEA">
            <w:pPr>
              <w:rPr>
                <w:rFonts w:ascii="Calibri" w:eastAsia="Calibri" w:hAnsi="Calibri" w:cs="Calibri"/>
                <w:noProof/>
                <w:color w:val="000000"/>
                <w:sz w:val="22"/>
                <w:szCs w:val="22"/>
                <w:u w:color="000000"/>
                <w:lang w:val="en-US"/>
              </w:rPr>
            </w:pPr>
            <w:r>
              <w:rPr>
                <w:rFonts w:ascii="Calibri" w:eastAsia="Calibri" w:hAnsi="Calibri" w:cs="Calibri"/>
                <w:noProof/>
                <w:color w:val="000000"/>
                <w:sz w:val="22"/>
                <w:szCs w:val="22"/>
                <w:u w:color="000000"/>
                <w:lang w:val="en-US"/>
              </w:rPr>
              <w:t>Director</w:t>
            </w:r>
          </w:p>
          <w:p w14:paraId="10A94693" w14:textId="77777777" w:rsidR="00F16FEA" w:rsidRDefault="00F16FEA" w:rsidP="00F16FEA">
            <w:pPr>
              <w:rPr>
                <w:rFonts w:ascii="Calibri" w:eastAsia="Calibri" w:hAnsi="Calibri" w:cs="Calibri"/>
                <w:noProof/>
                <w:color w:val="000000"/>
                <w:sz w:val="22"/>
                <w:szCs w:val="22"/>
                <w:u w:color="000000"/>
                <w:lang w:val="en-US"/>
              </w:rPr>
            </w:pPr>
            <w:r>
              <w:rPr>
                <w:rFonts w:ascii="Calibri" w:eastAsia="Calibri" w:hAnsi="Calibri" w:cs="Calibri"/>
                <w:noProof/>
                <w:color w:val="000000"/>
                <w:sz w:val="22"/>
                <w:szCs w:val="22"/>
                <w:u w:color="000000"/>
                <w:lang w:val="en-US"/>
              </w:rPr>
              <w:t>UNI MEI</w:t>
            </w:r>
          </w:p>
          <w:p w14:paraId="689BD346" w14:textId="58B3B086" w:rsidR="00F16FEA" w:rsidRDefault="00F16FEA" w:rsidP="00F16FEA">
            <w:pPr>
              <w:rPr>
                <w:rFonts w:ascii="Calibri" w:eastAsia="Calibri" w:hAnsi="Calibri" w:cs="Calibri"/>
                <w:noProof/>
                <w:color w:val="000000"/>
                <w:sz w:val="22"/>
                <w:szCs w:val="22"/>
                <w:u w:color="000000"/>
                <w:lang w:val="en-US"/>
              </w:rPr>
            </w:pPr>
            <w:r w:rsidRPr="0077321B">
              <w:rPr>
                <w:rFonts w:ascii="Calibri" w:eastAsia="Calibri" w:hAnsi="Calibri" w:cs="Calibri"/>
                <w:noProof/>
                <w:color w:val="000000"/>
                <w:u w:color="000000"/>
                <w:lang w:val="en-US"/>
              </w:rPr>
              <w:t>Richard.Polacek@uniglobalunion.org</w:t>
            </w:r>
          </w:p>
          <w:p w14:paraId="7091DA24" w14:textId="731B6BF1" w:rsidR="00F16FEA" w:rsidRPr="00860E57" w:rsidRDefault="0092495F" w:rsidP="00860E57">
            <w:pPr>
              <w:spacing w:after="120"/>
              <w:rPr>
                <w:rFonts w:ascii="Calibri" w:eastAsia="Calibri" w:hAnsi="Calibri" w:cs="Calibri"/>
                <w:noProof/>
                <w:color w:val="000000"/>
                <w:sz w:val="22"/>
                <w:szCs w:val="22"/>
                <w:u w:color="000000"/>
                <w:lang w:val="en-US"/>
              </w:rPr>
            </w:pPr>
            <w:hyperlink r:id="rId24" w:history="1">
              <w:r w:rsidR="00F16FEA" w:rsidRPr="00C2253C">
                <w:rPr>
                  <w:rStyle w:val="Hyperlink"/>
                  <w:rFonts w:ascii="Calibri" w:eastAsia="Calibri" w:hAnsi="Calibri" w:cs="Calibri"/>
                  <w:noProof/>
                  <w:sz w:val="22"/>
                  <w:szCs w:val="22"/>
                  <w:u w:color="000000"/>
                  <w:lang w:val="en-US"/>
                </w:rPr>
                <w:t>www.uniglobalunion.org</w:t>
              </w:r>
            </w:hyperlink>
          </w:p>
        </w:tc>
        <w:tc>
          <w:tcPr>
            <w:tcW w:w="1796" w:type="dxa"/>
            <w:tcBorders>
              <w:top w:val="nil"/>
              <w:left w:val="nil"/>
              <w:bottom w:val="nil"/>
              <w:right w:val="nil"/>
            </w:tcBorders>
            <w:shd w:val="clear" w:color="auto" w:fill="auto"/>
            <w:tcMar>
              <w:top w:w="80" w:type="dxa"/>
              <w:left w:w="80" w:type="dxa"/>
              <w:bottom w:w="80" w:type="dxa"/>
              <w:right w:w="80" w:type="dxa"/>
            </w:tcMar>
          </w:tcPr>
          <w:p w14:paraId="266A7950" w14:textId="77777777" w:rsidR="00F16FEA" w:rsidRPr="00B155AF" w:rsidRDefault="00F16FEA" w:rsidP="00B155AF">
            <w:pPr>
              <w:rPr>
                <w:rFonts w:ascii="Calibri" w:eastAsia="Calibri" w:hAnsi="Calibri" w:cs="Calibri"/>
                <w:noProof/>
                <w:color w:val="000000"/>
                <w:sz w:val="24"/>
                <w:szCs w:val="24"/>
                <w:u w:color="000000"/>
                <w:lang w:val="en-US"/>
              </w:rPr>
            </w:pPr>
          </w:p>
        </w:tc>
        <w:tc>
          <w:tcPr>
            <w:tcW w:w="2100" w:type="dxa"/>
            <w:tcBorders>
              <w:top w:val="nil"/>
              <w:left w:val="nil"/>
              <w:bottom w:val="nil"/>
              <w:right w:val="nil"/>
            </w:tcBorders>
            <w:shd w:val="clear" w:color="auto" w:fill="auto"/>
            <w:tcMar>
              <w:top w:w="80" w:type="dxa"/>
              <w:left w:w="80" w:type="dxa"/>
              <w:bottom w:w="80" w:type="dxa"/>
              <w:right w:w="80" w:type="dxa"/>
            </w:tcMar>
          </w:tcPr>
          <w:p w14:paraId="5DBCAAA2" w14:textId="77777777" w:rsidR="00F16FEA" w:rsidRPr="00B155AF" w:rsidRDefault="00F16FEA" w:rsidP="00B155AF">
            <w:pPr>
              <w:rPr>
                <w:rFonts w:ascii="Calibri" w:eastAsia="Calibri" w:hAnsi="Calibri" w:cs="Calibri"/>
                <w:b/>
                <w:noProof/>
                <w:color w:val="000000"/>
                <w:szCs w:val="24"/>
                <w:u w:color="000000"/>
                <w:lang w:val="en-US"/>
              </w:rPr>
            </w:pPr>
          </w:p>
        </w:tc>
        <w:tc>
          <w:tcPr>
            <w:tcW w:w="2381" w:type="dxa"/>
            <w:tcBorders>
              <w:top w:val="nil"/>
              <w:left w:val="nil"/>
              <w:bottom w:val="nil"/>
              <w:right w:val="nil"/>
            </w:tcBorders>
            <w:shd w:val="clear" w:color="auto" w:fill="auto"/>
            <w:tcMar>
              <w:top w:w="80" w:type="dxa"/>
              <w:left w:w="80" w:type="dxa"/>
              <w:bottom w:w="80" w:type="dxa"/>
              <w:right w:w="80" w:type="dxa"/>
            </w:tcMar>
          </w:tcPr>
          <w:p w14:paraId="29EAE803" w14:textId="77777777" w:rsidR="00F16FEA" w:rsidRPr="00B155AF" w:rsidRDefault="00F16FEA" w:rsidP="00C2253C">
            <w:pPr>
              <w:spacing w:before="120"/>
              <w:rPr>
                <w:rFonts w:cstheme="minorHAnsi"/>
                <w:b/>
                <w:noProof/>
                <w:color w:val="000000"/>
                <w:u w:color="000000"/>
                <w:lang w:val="en-US"/>
              </w:rPr>
            </w:pPr>
          </w:p>
        </w:tc>
      </w:tr>
      <w:tr w:rsidR="00F16FEA" w:rsidRPr="00B155AF" w14:paraId="6D55A67B" w14:textId="77777777" w:rsidTr="00860E57">
        <w:trPr>
          <w:trHeight w:val="458"/>
        </w:trPr>
        <w:tc>
          <w:tcPr>
            <w:tcW w:w="2105" w:type="dxa"/>
            <w:tcBorders>
              <w:top w:val="nil"/>
              <w:left w:val="nil"/>
              <w:bottom w:val="nil"/>
              <w:right w:val="nil"/>
            </w:tcBorders>
            <w:shd w:val="clear" w:color="auto" w:fill="auto"/>
            <w:tcMar>
              <w:top w:w="80" w:type="dxa"/>
              <w:left w:w="80" w:type="dxa"/>
              <w:bottom w:w="80" w:type="dxa"/>
              <w:right w:w="80" w:type="dxa"/>
            </w:tcMar>
          </w:tcPr>
          <w:p w14:paraId="379BFC9D" w14:textId="0F95C1A6" w:rsidR="00F16FEA" w:rsidRPr="00C2253C" w:rsidRDefault="00F16FEA" w:rsidP="00B155AF">
            <w:pPr>
              <w:rPr>
                <w:rFonts w:ascii="Calibri" w:eastAsia="Calibri" w:hAnsi="Calibri" w:cs="Calibri"/>
                <w:b/>
                <w:noProof/>
                <w:color w:val="000000"/>
                <w:u w:color="000000"/>
                <w:lang w:val="en-US"/>
              </w:rPr>
            </w:pPr>
            <w:r>
              <w:rPr>
                <w:rFonts w:ascii="Calibri" w:eastAsia="Calibri" w:hAnsi="Calibri" w:cs="Calibri"/>
                <w:b/>
                <w:noProof/>
                <w:color w:val="000000"/>
                <w:u w:color="000000"/>
                <w:lang w:val="fr-CH" w:eastAsia="fr-CH"/>
              </w:rPr>
              <w:drawing>
                <wp:inline distT="0" distB="0" distL="0" distR="0" wp14:anchorId="5285B2C7" wp14:editId="116264F1">
                  <wp:extent cx="1036964" cy="496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733" cy="506021"/>
                          </a:xfrm>
                          <a:prstGeom prst="rect">
                            <a:avLst/>
                          </a:prstGeom>
                          <a:noFill/>
                        </pic:spPr>
                      </pic:pic>
                    </a:graphicData>
                  </a:graphic>
                </wp:inline>
              </w:drawing>
            </w:r>
          </w:p>
        </w:tc>
        <w:tc>
          <w:tcPr>
            <w:tcW w:w="2385" w:type="dxa"/>
            <w:gridSpan w:val="2"/>
            <w:tcBorders>
              <w:top w:val="nil"/>
              <w:left w:val="nil"/>
              <w:bottom w:val="nil"/>
              <w:right w:val="nil"/>
            </w:tcBorders>
            <w:shd w:val="clear" w:color="auto" w:fill="auto"/>
            <w:tcMar>
              <w:top w:w="80" w:type="dxa"/>
              <w:left w:w="80" w:type="dxa"/>
              <w:bottom w:w="80" w:type="dxa"/>
              <w:right w:w="80" w:type="dxa"/>
            </w:tcMar>
          </w:tcPr>
          <w:p w14:paraId="7636E4EE" w14:textId="77777777" w:rsidR="00F16FEA" w:rsidRPr="00B155AF" w:rsidRDefault="00F16FEA" w:rsidP="00B155AF">
            <w:pPr>
              <w:rPr>
                <w:rFonts w:ascii="Calibri" w:eastAsia="Calibri" w:hAnsi="Calibri" w:cs="Calibri"/>
                <w:noProof/>
                <w:color w:val="000000"/>
                <w:sz w:val="24"/>
                <w:szCs w:val="24"/>
                <w:u w:color="000000"/>
                <w:lang w:val="en-US"/>
              </w:rPr>
            </w:pPr>
          </w:p>
        </w:tc>
        <w:tc>
          <w:tcPr>
            <w:tcW w:w="2100" w:type="dxa"/>
            <w:tcBorders>
              <w:top w:val="nil"/>
              <w:left w:val="nil"/>
              <w:bottom w:val="nil"/>
              <w:right w:val="nil"/>
            </w:tcBorders>
            <w:shd w:val="clear" w:color="auto" w:fill="auto"/>
            <w:tcMar>
              <w:top w:w="80" w:type="dxa"/>
              <w:left w:w="80" w:type="dxa"/>
              <w:bottom w:w="80" w:type="dxa"/>
              <w:right w:w="80" w:type="dxa"/>
            </w:tcMar>
          </w:tcPr>
          <w:p w14:paraId="32F96CC2" w14:textId="77777777" w:rsidR="00F16FEA" w:rsidRPr="00B155AF" w:rsidRDefault="00F16FEA" w:rsidP="00B155AF">
            <w:pPr>
              <w:rPr>
                <w:rFonts w:ascii="Calibri" w:eastAsia="Calibri" w:hAnsi="Calibri" w:cs="Calibri"/>
                <w:b/>
                <w:noProof/>
                <w:color w:val="000000"/>
                <w:szCs w:val="24"/>
                <w:u w:color="000000"/>
                <w:lang w:val="en-US"/>
              </w:rPr>
            </w:pPr>
          </w:p>
        </w:tc>
        <w:tc>
          <w:tcPr>
            <w:tcW w:w="2381" w:type="dxa"/>
            <w:tcBorders>
              <w:top w:val="nil"/>
              <w:left w:val="nil"/>
              <w:bottom w:val="nil"/>
              <w:right w:val="nil"/>
            </w:tcBorders>
            <w:shd w:val="clear" w:color="auto" w:fill="auto"/>
            <w:tcMar>
              <w:top w:w="80" w:type="dxa"/>
              <w:left w:w="80" w:type="dxa"/>
              <w:bottom w:w="80" w:type="dxa"/>
              <w:right w:w="80" w:type="dxa"/>
            </w:tcMar>
          </w:tcPr>
          <w:p w14:paraId="25CE1057" w14:textId="77777777" w:rsidR="00F16FEA" w:rsidRPr="00B155AF" w:rsidRDefault="00F16FEA" w:rsidP="00B155AF">
            <w:pPr>
              <w:rPr>
                <w:rFonts w:cstheme="minorHAnsi"/>
                <w:b/>
                <w:noProof/>
                <w:color w:val="000000"/>
                <w:u w:color="000000"/>
                <w:lang w:val="en-US"/>
              </w:rPr>
            </w:pPr>
          </w:p>
        </w:tc>
      </w:tr>
    </w:tbl>
    <w:p w14:paraId="11212D7E" w14:textId="77777777" w:rsidR="00B155AF" w:rsidRDefault="00B155AF" w:rsidP="00441704">
      <w:pPr>
        <w:autoSpaceDE w:val="0"/>
        <w:autoSpaceDN w:val="0"/>
        <w:spacing w:after="280" w:line="300" w:lineRule="auto"/>
        <w:ind w:right="4"/>
        <w:jc w:val="both"/>
        <w:rPr>
          <w:rFonts w:ascii="TrebuchetMS" w:hAnsi="TrebuchetMS" w:cs="Times New Roman"/>
          <w:b/>
          <w:bCs/>
          <w:i/>
          <w:iCs/>
          <w:color w:val="000000"/>
          <w:sz w:val="20"/>
          <w:szCs w:val="20"/>
          <w:lang w:val="en-US"/>
        </w:rPr>
      </w:pPr>
    </w:p>
    <w:p w14:paraId="4B577065" w14:textId="77777777" w:rsidR="00441704" w:rsidRPr="006465A3" w:rsidRDefault="00441704" w:rsidP="00441704">
      <w:pPr>
        <w:autoSpaceDE w:val="0"/>
        <w:autoSpaceDN w:val="0"/>
        <w:spacing w:after="280" w:line="300" w:lineRule="auto"/>
        <w:ind w:right="4"/>
        <w:jc w:val="both"/>
        <w:rPr>
          <w:rFonts w:ascii="TrebuchetMS" w:hAnsi="TrebuchetMS" w:cs="Times New Roman"/>
          <w:b/>
          <w:bCs/>
          <w:i/>
          <w:iCs/>
          <w:color w:val="000000"/>
          <w:sz w:val="20"/>
          <w:szCs w:val="20"/>
          <w:lang w:val="en-US"/>
        </w:rPr>
      </w:pPr>
      <w:r>
        <w:rPr>
          <w:rFonts w:ascii="TrebuchetMS" w:hAnsi="TrebuchetMS" w:cs="Times New Roman"/>
          <w:b/>
          <w:bCs/>
          <w:i/>
          <w:iCs/>
          <w:color w:val="000000"/>
          <w:sz w:val="20"/>
          <w:szCs w:val="20"/>
          <w:lang w:val="en-US"/>
        </w:rPr>
        <w:t>AER</w:t>
      </w:r>
      <w:r w:rsidRPr="006465A3">
        <w:rPr>
          <w:rFonts w:ascii="TrebuchetMS" w:hAnsi="TrebuchetMS" w:cs="Times New Roman"/>
          <w:b/>
          <w:bCs/>
          <w:i/>
          <w:iCs/>
          <w:color w:val="000000"/>
          <w:sz w:val="20"/>
          <w:szCs w:val="20"/>
          <w:lang w:val="en-US"/>
        </w:rPr>
        <w:t xml:space="preserve">, </w:t>
      </w:r>
      <w:r w:rsidRPr="00441704">
        <w:rPr>
          <w:rFonts w:ascii="TrebuchetMS" w:hAnsi="TrebuchetMS" w:cs="Times New Roman"/>
          <w:bCs/>
          <w:i/>
          <w:iCs/>
          <w:color w:val="000000"/>
          <w:sz w:val="20"/>
          <w:szCs w:val="20"/>
          <w:lang w:val="en-US"/>
        </w:rPr>
        <w:t>the Association of European Radios, is a Europe-wide trade body representing the interests of over 4,500 private/commercial radio stations across the EU28 and in Switzerland. AER’s main objective is to develop the most suitable framework for private commercial radio activity. AER constantly follows and contributes to EU actions in the fields of media, telecommunications and private radio transmission, in order to contribute, to enrich and develop the radio sector.</w:t>
      </w:r>
      <w:r>
        <w:rPr>
          <w:rFonts w:ascii="TrebuchetMS" w:hAnsi="TrebuchetMS" w:cs="Times New Roman"/>
          <w:b/>
          <w:bCs/>
          <w:i/>
          <w:iCs/>
          <w:color w:val="000000"/>
          <w:sz w:val="20"/>
          <w:szCs w:val="20"/>
          <w:lang w:val="en-US"/>
        </w:rPr>
        <w:t xml:space="preserve"> </w:t>
      </w:r>
    </w:p>
    <w:p w14:paraId="747FB43F" w14:textId="253C1C32" w:rsidR="00441704" w:rsidRPr="00441704" w:rsidRDefault="00441704" w:rsidP="00441704">
      <w:pPr>
        <w:autoSpaceDE w:val="0"/>
        <w:autoSpaceDN w:val="0"/>
        <w:spacing w:after="280" w:line="300" w:lineRule="auto"/>
        <w:ind w:right="4"/>
        <w:jc w:val="both"/>
        <w:rPr>
          <w:rFonts w:ascii="TrebuchetMS" w:hAnsi="TrebuchetMS" w:cs="Times New Roman"/>
          <w:bCs/>
          <w:i/>
          <w:iCs/>
          <w:color w:val="000000"/>
          <w:sz w:val="20"/>
          <w:szCs w:val="20"/>
          <w:lang w:val="en-US"/>
        </w:rPr>
      </w:pPr>
      <w:r w:rsidRPr="00441704">
        <w:rPr>
          <w:rFonts w:ascii="TrebuchetMS" w:hAnsi="TrebuchetMS" w:cs="Times New Roman"/>
          <w:bCs/>
          <w:i/>
          <w:iCs/>
          <w:color w:val="000000"/>
          <w:sz w:val="20"/>
          <w:szCs w:val="20"/>
          <w:lang w:val="en-US"/>
        </w:rPr>
        <w:t xml:space="preserve">See: </w:t>
      </w:r>
      <w:hyperlink r:id="rId26" w:history="1">
        <w:r w:rsidRPr="001728D4">
          <w:rPr>
            <w:rStyle w:val="Hyperlink"/>
            <w:rFonts w:ascii="TrebuchetMS" w:hAnsi="TrebuchetMS" w:cs="Times New Roman"/>
            <w:bCs/>
            <w:i/>
            <w:iCs/>
            <w:sz w:val="20"/>
            <w:szCs w:val="20"/>
            <w:lang w:val="en-US"/>
          </w:rPr>
          <w:t>http://www.aereurope.org</w:t>
        </w:r>
      </w:hyperlink>
    </w:p>
    <w:p w14:paraId="6232C1C1" w14:textId="77777777" w:rsidR="00441704" w:rsidRPr="006465A3" w:rsidRDefault="00441704" w:rsidP="00441704">
      <w:pPr>
        <w:autoSpaceDE w:val="0"/>
        <w:autoSpaceDN w:val="0"/>
        <w:spacing w:after="280" w:line="300" w:lineRule="auto"/>
        <w:ind w:right="4"/>
        <w:jc w:val="both"/>
        <w:rPr>
          <w:rFonts w:ascii="TrebuchetMS" w:hAnsi="TrebuchetMS" w:cs="Times New Roman"/>
          <w:b/>
          <w:bCs/>
          <w:i/>
          <w:iCs/>
          <w:color w:val="000000"/>
          <w:sz w:val="20"/>
          <w:szCs w:val="20"/>
          <w:lang w:val="en-US"/>
        </w:rPr>
      </w:pPr>
      <w:r w:rsidRPr="006465A3">
        <w:rPr>
          <w:rFonts w:ascii="TrebuchetMS" w:hAnsi="TrebuchetMS" w:cs="Times New Roman"/>
          <w:b/>
          <w:bCs/>
          <w:i/>
          <w:iCs/>
          <w:color w:val="000000"/>
          <w:sz w:val="20"/>
          <w:szCs w:val="20"/>
          <w:lang w:val="en-US"/>
        </w:rPr>
        <w:t xml:space="preserve">EBU, </w:t>
      </w:r>
      <w:r w:rsidRPr="00441704">
        <w:rPr>
          <w:rFonts w:ascii="TrebuchetMS" w:hAnsi="TrebuchetMS" w:cs="Times New Roman"/>
          <w:bCs/>
          <w:i/>
          <w:iCs/>
          <w:color w:val="000000"/>
          <w:sz w:val="20"/>
          <w:szCs w:val="20"/>
          <w:lang w:val="en-US"/>
        </w:rPr>
        <w:t xml:space="preserve">the European Broadcasting Union, is the world’s leading alliance of public service media. We have 119 member organizations in 56 countries in Europe, and an additional 34 Associates in Asia, Africa, Australasia and the Americas. Our Members operate over 2,000 television, radio and online channels and services, and offer a </w:t>
      </w:r>
      <w:r w:rsidRPr="00441704">
        <w:rPr>
          <w:rFonts w:ascii="TrebuchetMS" w:hAnsi="TrebuchetMS" w:cs="Times New Roman"/>
          <w:bCs/>
          <w:i/>
          <w:iCs/>
          <w:color w:val="000000"/>
          <w:sz w:val="20"/>
          <w:szCs w:val="20"/>
          <w:lang w:val="en-US"/>
        </w:rPr>
        <w:lastRenderedPageBreak/>
        <w:t xml:space="preserve">wealth of content across other platforms. Together they reach an audience of more than one billion people around the world, broadcasting in more than 160 languages. The EBU operates Eurovision and </w:t>
      </w:r>
      <w:proofErr w:type="spellStart"/>
      <w:r w:rsidRPr="00441704">
        <w:rPr>
          <w:rFonts w:ascii="TrebuchetMS" w:hAnsi="TrebuchetMS" w:cs="Times New Roman"/>
          <w:bCs/>
          <w:i/>
          <w:iCs/>
          <w:color w:val="000000"/>
          <w:sz w:val="20"/>
          <w:szCs w:val="20"/>
          <w:lang w:val="en-US"/>
        </w:rPr>
        <w:t>Euroradio</w:t>
      </w:r>
      <w:proofErr w:type="spellEnd"/>
      <w:r w:rsidRPr="00441704">
        <w:rPr>
          <w:rFonts w:ascii="TrebuchetMS" w:hAnsi="TrebuchetMS" w:cs="Times New Roman"/>
          <w:bCs/>
          <w:i/>
          <w:iCs/>
          <w:color w:val="000000"/>
          <w:sz w:val="20"/>
          <w:szCs w:val="20"/>
          <w:lang w:val="en-US"/>
        </w:rPr>
        <w:t xml:space="preserve"> services.</w:t>
      </w:r>
    </w:p>
    <w:p w14:paraId="50400678" w14:textId="77777777" w:rsidR="00441704" w:rsidRPr="00441704" w:rsidRDefault="00441704" w:rsidP="00441704">
      <w:pPr>
        <w:autoSpaceDE w:val="0"/>
        <w:autoSpaceDN w:val="0"/>
        <w:spacing w:after="280" w:line="300" w:lineRule="auto"/>
        <w:ind w:right="4"/>
        <w:jc w:val="both"/>
        <w:rPr>
          <w:rFonts w:ascii="TrebuchetMS" w:hAnsi="TrebuchetMS" w:cs="Times New Roman"/>
          <w:bCs/>
          <w:i/>
          <w:iCs/>
          <w:color w:val="000000"/>
          <w:sz w:val="20"/>
          <w:szCs w:val="20"/>
          <w:lang w:val="en-US"/>
        </w:rPr>
      </w:pPr>
      <w:r w:rsidRPr="00441704">
        <w:rPr>
          <w:rFonts w:ascii="TrebuchetMS" w:hAnsi="TrebuchetMS" w:cs="Times New Roman"/>
          <w:bCs/>
          <w:i/>
          <w:iCs/>
          <w:color w:val="000000"/>
          <w:sz w:val="20"/>
          <w:szCs w:val="20"/>
          <w:lang w:val="en-US"/>
        </w:rPr>
        <w:t>See:</w:t>
      </w:r>
      <w:r w:rsidRPr="00B155AF">
        <w:rPr>
          <w:rFonts w:ascii="TrebuchetMS" w:hAnsi="TrebuchetMS" w:cs="Times New Roman"/>
          <w:bCs/>
          <w:i/>
          <w:iCs/>
          <w:color w:val="000000"/>
          <w:sz w:val="20"/>
          <w:szCs w:val="20"/>
          <w:lang w:val="en-US"/>
        </w:rPr>
        <w:t xml:space="preserve"> </w:t>
      </w:r>
      <w:hyperlink r:id="rId27" w:history="1">
        <w:r w:rsidRPr="00860E57">
          <w:rPr>
            <w:rStyle w:val="Hyperlink"/>
            <w:rFonts w:ascii="TrebuchetMS" w:hAnsi="TrebuchetMS"/>
            <w:i/>
            <w:sz w:val="20"/>
            <w:szCs w:val="20"/>
          </w:rPr>
          <w:t>www.ebu.ch</w:t>
        </w:r>
      </w:hyperlink>
    </w:p>
    <w:p w14:paraId="4344FF03" w14:textId="77777777" w:rsidR="00441704" w:rsidRPr="006465A3" w:rsidRDefault="00441704" w:rsidP="00441704">
      <w:pPr>
        <w:autoSpaceDE w:val="0"/>
        <w:autoSpaceDN w:val="0"/>
        <w:spacing w:after="280" w:line="300" w:lineRule="auto"/>
        <w:ind w:right="4"/>
        <w:jc w:val="both"/>
        <w:rPr>
          <w:rFonts w:ascii="TrebuchetMS" w:hAnsi="TrebuchetMS" w:cs="Times New Roman"/>
          <w:b/>
          <w:bCs/>
          <w:i/>
          <w:iCs/>
          <w:color w:val="000000"/>
          <w:sz w:val="20"/>
          <w:szCs w:val="20"/>
          <w:lang w:val="en-US"/>
        </w:rPr>
      </w:pPr>
      <w:r w:rsidRPr="006465A3">
        <w:rPr>
          <w:rFonts w:ascii="TrebuchetMS" w:hAnsi="TrebuchetMS" w:cs="Times New Roman"/>
          <w:b/>
          <w:bCs/>
          <w:i/>
          <w:iCs/>
          <w:color w:val="000000"/>
          <w:sz w:val="20"/>
          <w:szCs w:val="20"/>
          <w:lang w:val="en-US"/>
        </w:rPr>
        <w:t xml:space="preserve">EFJ, </w:t>
      </w:r>
      <w:r w:rsidRPr="00441704">
        <w:rPr>
          <w:rFonts w:ascii="TrebuchetMS" w:hAnsi="TrebuchetMS" w:cs="Times New Roman"/>
          <w:bCs/>
          <w:i/>
          <w:iCs/>
          <w:color w:val="000000"/>
          <w:sz w:val="20"/>
          <w:szCs w:val="20"/>
          <w:lang w:val="en-US"/>
        </w:rPr>
        <w:t xml:space="preserve">the European Federation of Journalists, is the largest organization of journalists in Europe, representing over 320 000 journalists in 70 journalists </w:t>
      </w:r>
      <w:proofErr w:type="spellStart"/>
      <w:r w:rsidRPr="00441704">
        <w:rPr>
          <w:rFonts w:ascii="TrebuchetMS" w:hAnsi="TrebuchetMS" w:cs="Times New Roman"/>
          <w:bCs/>
          <w:i/>
          <w:iCs/>
          <w:color w:val="000000"/>
          <w:sz w:val="20"/>
          <w:szCs w:val="20"/>
          <w:lang w:val="en-US"/>
        </w:rPr>
        <w:t>journalists</w:t>
      </w:r>
      <w:proofErr w:type="spellEnd"/>
      <w:r w:rsidRPr="00441704">
        <w:rPr>
          <w:rFonts w:ascii="TrebuchetMS" w:hAnsi="TrebuchetMS" w:cs="Times New Roman"/>
          <w:bCs/>
          <w:i/>
          <w:iCs/>
          <w:color w:val="000000"/>
          <w:sz w:val="20"/>
          <w:szCs w:val="20"/>
          <w:lang w:val="en-US"/>
        </w:rPr>
        <w:t xml:space="preserve">’ </w:t>
      </w:r>
      <w:proofErr w:type="spellStart"/>
      <w:r w:rsidRPr="00441704">
        <w:rPr>
          <w:rFonts w:ascii="TrebuchetMS" w:hAnsi="TrebuchetMS" w:cs="Times New Roman"/>
          <w:bCs/>
          <w:i/>
          <w:iCs/>
          <w:color w:val="000000"/>
          <w:sz w:val="20"/>
          <w:szCs w:val="20"/>
          <w:lang w:val="en-US"/>
        </w:rPr>
        <w:t>organisations</w:t>
      </w:r>
      <w:proofErr w:type="spellEnd"/>
      <w:r w:rsidRPr="00441704">
        <w:rPr>
          <w:rFonts w:ascii="TrebuchetMS" w:hAnsi="TrebuchetMS" w:cs="Times New Roman"/>
          <w:bCs/>
          <w:i/>
          <w:iCs/>
          <w:color w:val="000000"/>
          <w:sz w:val="20"/>
          <w:szCs w:val="20"/>
          <w:lang w:val="en-US"/>
        </w:rPr>
        <w:t xml:space="preserve"> across 44 countries.</w:t>
      </w:r>
      <w:r w:rsidRPr="006465A3">
        <w:rPr>
          <w:rFonts w:ascii="TrebuchetMS" w:hAnsi="TrebuchetMS" w:cs="Times New Roman"/>
          <w:b/>
          <w:bCs/>
          <w:i/>
          <w:iCs/>
          <w:color w:val="000000"/>
          <w:sz w:val="20"/>
          <w:szCs w:val="20"/>
          <w:lang w:val="en-US"/>
        </w:rPr>
        <w:t xml:space="preserve"> </w:t>
      </w:r>
    </w:p>
    <w:p w14:paraId="48F7F2A0" w14:textId="77777777" w:rsidR="00441704" w:rsidRPr="00441704" w:rsidRDefault="00441704" w:rsidP="00441704">
      <w:pPr>
        <w:autoSpaceDE w:val="0"/>
        <w:autoSpaceDN w:val="0"/>
        <w:spacing w:after="280" w:line="300" w:lineRule="auto"/>
        <w:ind w:right="4"/>
        <w:jc w:val="both"/>
        <w:rPr>
          <w:rFonts w:ascii="TrebuchetMS" w:hAnsi="TrebuchetMS" w:cs="Times New Roman"/>
          <w:bCs/>
          <w:i/>
          <w:iCs/>
          <w:color w:val="000000"/>
          <w:sz w:val="20"/>
          <w:szCs w:val="20"/>
          <w:lang w:val="en-US"/>
        </w:rPr>
      </w:pPr>
      <w:r w:rsidRPr="00441704">
        <w:rPr>
          <w:rFonts w:ascii="TrebuchetMS" w:hAnsi="TrebuchetMS" w:cs="Times New Roman"/>
          <w:bCs/>
          <w:i/>
          <w:iCs/>
          <w:color w:val="000000"/>
          <w:sz w:val="20"/>
          <w:szCs w:val="20"/>
          <w:lang w:val="en-US"/>
        </w:rPr>
        <w:t>See:</w:t>
      </w:r>
      <w:r w:rsidRPr="00B155AF">
        <w:rPr>
          <w:rFonts w:ascii="TrebuchetMS" w:hAnsi="TrebuchetMS" w:cs="Times New Roman"/>
          <w:bCs/>
          <w:i/>
          <w:iCs/>
          <w:color w:val="000000"/>
          <w:sz w:val="20"/>
          <w:szCs w:val="20"/>
          <w:lang w:val="en-US"/>
        </w:rPr>
        <w:t xml:space="preserve"> </w:t>
      </w:r>
      <w:hyperlink r:id="rId28" w:history="1">
        <w:r w:rsidRPr="00860E57">
          <w:rPr>
            <w:rStyle w:val="Hyperlink"/>
            <w:rFonts w:ascii="TrebuchetMS" w:hAnsi="TrebuchetMS"/>
            <w:i/>
            <w:sz w:val="20"/>
            <w:szCs w:val="20"/>
          </w:rPr>
          <w:t>www.europeanjournalists.org</w:t>
        </w:r>
      </w:hyperlink>
    </w:p>
    <w:p w14:paraId="6B23CA7A" w14:textId="77777777" w:rsidR="00441704" w:rsidRPr="00A6355B" w:rsidRDefault="00441704" w:rsidP="00441704">
      <w:pPr>
        <w:autoSpaceDE w:val="0"/>
        <w:autoSpaceDN w:val="0"/>
        <w:spacing w:after="280" w:line="300" w:lineRule="auto"/>
        <w:ind w:right="4"/>
        <w:jc w:val="both"/>
        <w:rPr>
          <w:rFonts w:ascii="TrebuchetMS" w:hAnsi="TrebuchetMS" w:cs="Times New Roman"/>
          <w:i/>
          <w:iCs/>
          <w:color w:val="000000"/>
          <w:sz w:val="20"/>
          <w:szCs w:val="20"/>
          <w:lang w:val="en-US"/>
        </w:rPr>
      </w:pPr>
      <w:r w:rsidRPr="00A6355B">
        <w:rPr>
          <w:rFonts w:ascii="TrebuchetMS" w:hAnsi="TrebuchetMS" w:cs="Times New Roman"/>
          <w:b/>
          <w:bCs/>
          <w:i/>
          <w:iCs/>
          <w:color w:val="000000"/>
          <w:sz w:val="20"/>
          <w:szCs w:val="20"/>
          <w:lang w:val="en-US"/>
        </w:rPr>
        <w:t>EMMA</w:t>
      </w:r>
      <w:r w:rsidRPr="00A6355B">
        <w:rPr>
          <w:rFonts w:ascii="TrebuchetMS" w:hAnsi="TrebuchetMS" w:cs="Times New Roman"/>
          <w:i/>
          <w:iCs/>
          <w:color w:val="000000"/>
          <w:sz w:val="20"/>
          <w:szCs w:val="20"/>
          <w:lang w:val="en-US"/>
        </w:rPr>
        <w:t xml:space="preserve">, the European Magazine Media Association, is the unique and complete representation of Europe’s magazine media, which is today enjoyed by millions of consumers on various platforms. EMMA represents 15,000 publishing houses, publishing 50,000 magazine titles across Europe in print and digital. </w:t>
      </w:r>
    </w:p>
    <w:p w14:paraId="571B88CE" w14:textId="77777777" w:rsidR="00441704" w:rsidRPr="00A6355B" w:rsidRDefault="00441704" w:rsidP="00441704">
      <w:pPr>
        <w:autoSpaceDE w:val="0"/>
        <w:autoSpaceDN w:val="0"/>
        <w:spacing w:after="280" w:line="300" w:lineRule="auto"/>
        <w:ind w:right="4"/>
        <w:jc w:val="both"/>
        <w:rPr>
          <w:rFonts w:ascii="TrebuchetMS" w:hAnsi="TrebuchetMS" w:cs="Times New Roman"/>
          <w:i/>
          <w:iCs/>
          <w:color w:val="000000"/>
          <w:sz w:val="20"/>
          <w:szCs w:val="20"/>
          <w:lang w:val="en-US"/>
        </w:rPr>
      </w:pPr>
      <w:r w:rsidRPr="00A6355B">
        <w:rPr>
          <w:rFonts w:ascii="TrebuchetMS" w:hAnsi="TrebuchetMS" w:cs="Times New Roman"/>
          <w:i/>
          <w:iCs/>
          <w:color w:val="000000"/>
          <w:sz w:val="20"/>
          <w:szCs w:val="20"/>
          <w:lang w:val="en-US"/>
        </w:rPr>
        <w:t xml:space="preserve">See: </w:t>
      </w:r>
      <w:hyperlink r:id="rId29" w:history="1">
        <w:r w:rsidRPr="00A6355B">
          <w:rPr>
            <w:rFonts w:ascii="TrebuchetMS" w:hAnsi="TrebuchetMS" w:cs="Times New Roman"/>
            <w:i/>
            <w:iCs/>
            <w:color w:val="0563C1"/>
            <w:sz w:val="20"/>
            <w:szCs w:val="20"/>
            <w:u w:val="single"/>
            <w:lang w:val="en-US"/>
          </w:rPr>
          <w:t>www.magazinemedia.eu</w:t>
        </w:r>
      </w:hyperlink>
      <w:r w:rsidRPr="00A6355B">
        <w:rPr>
          <w:rFonts w:ascii="Calibri" w:hAnsi="Calibri" w:cs="Times New Roman"/>
          <w:lang w:val="en-US"/>
        </w:rPr>
        <w:t xml:space="preserve"> </w:t>
      </w:r>
    </w:p>
    <w:p w14:paraId="565C229F" w14:textId="337FC89B" w:rsidR="00441704" w:rsidRPr="00A6355B" w:rsidRDefault="00441704" w:rsidP="00441704">
      <w:pPr>
        <w:autoSpaceDE w:val="0"/>
        <w:autoSpaceDN w:val="0"/>
        <w:spacing w:after="280" w:line="300" w:lineRule="auto"/>
        <w:ind w:right="4"/>
        <w:jc w:val="both"/>
        <w:rPr>
          <w:rFonts w:ascii="TrebuchetMS" w:hAnsi="TrebuchetMS" w:cs="Times New Roman"/>
          <w:i/>
          <w:iCs/>
          <w:color w:val="000000"/>
          <w:sz w:val="20"/>
          <w:szCs w:val="20"/>
          <w:lang w:val="en-US"/>
        </w:rPr>
      </w:pPr>
      <w:r w:rsidRPr="00A6355B">
        <w:rPr>
          <w:rFonts w:ascii="TrebuchetMS" w:hAnsi="TrebuchetMS" w:cs="Times New Roman"/>
          <w:b/>
          <w:bCs/>
          <w:i/>
          <w:iCs/>
          <w:color w:val="000000"/>
          <w:sz w:val="20"/>
          <w:szCs w:val="20"/>
          <w:lang w:val="en-US"/>
        </w:rPr>
        <w:t>ENPA</w:t>
      </w:r>
      <w:r w:rsidRPr="00A6355B">
        <w:rPr>
          <w:rFonts w:ascii="TrebuchetMS" w:hAnsi="TrebuchetMS" w:cs="Times New Roman"/>
          <w:i/>
          <w:iCs/>
          <w:color w:val="000000"/>
          <w:sz w:val="20"/>
          <w:szCs w:val="20"/>
          <w:lang w:val="en-US"/>
        </w:rPr>
        <w:t>, the European Newspaper Publishers’ Association,</w:t>
      </w:r>
      <w:r w:rsidR="0044762F">
        <w:rPr>
          <w:rFonts w:ascii="TrebuchetMS" w:hAnsi="TrebuchetMS" w:cs="Times New Roman"/>
          <w:i/>
          <w:iCs/>
          <w:color w:val="000000"/>
          <w:sz w:val="20"/>
          <w:szCs w:val="20"/>
          <w:lang w:val="en-US"/>
        </w:rPr>
        <w:t xml:space="preserve"> </w:t>
      </w:r>
      <w:r w:rsidRPr="00A6355B">
        <w:rPr>
          <w:rFonts w:ascii="TrebuchetMS" w:hAnsi="TrebuchetMS" w:cs="Times New Roman"/>
          <w:i/>
          <w:iCs/>
          <w:color w:val="000000"/>
          <w:sz w:val="20"/>
          <w:szCs w:val="20"/>
          <w:lang w:val="en-US"/>
        </w:rPr>
        <w:t xml:space="preserve">is an international non-profit </w:t>
      </w:r>
      <w:proofErr w:type="spellStart"/>
      <w:r w:rsidRPr="00A6355B">
        <w:rPr>
          <w:rFonts w:ascii="TrebuchetMS" w:hAnsi="TrebuchetMS" w:cs="Times New Roman"/>
          <w:i/>
          <w:iCs/>
          <w:color w:val="000000"/>
          <w:sz w:val="20"/>
          <w:szCs w:val="20"/>
          <w:lang w:val="en-US"/>
        </w:rPr>
        <w:t>organisation</w:t>
      </w:r>
      <w:proofErr w:type="spellEnd"/>
      <w:r w:rsidRPr="00A6355B">
        <w:rPr>
          <w:rFonts w:ascii="TrebuchetMS" w:hAnsi="TrebuchetMS" w:cs="Times New Roman"/>
          <w:i/>
          <w:iCs/>
          <w:color w:val="000000"/>
          <w:sz w:val="20"/>
          <w:szCs w:val="20"/>
          <w:lang w:val="en-US"/>
        </w:rPr>
        <w:t xml:space="preserve"> representing publishers of newspaper and news media on all platforms. In a rapidly changing media environment, ENPA supports publishers with the aim of achieving a successful and sustainable future for independent news media in Europe. </w:t>
      </w:r>
    </w:p>
    <w:p w14:paraId="27A91B29" w14:textId="77777777" w:rsidR="00441704" w:rsidRPr="00A6355B" w:rsidRDefault="00441704" w:rsidP="00441704">
      <w:pPr>
        <w:autoSpaceDE w:val="0"/>
        <w:autoSpaceDN w:val="0"/>
        <w:spacing w:after="280" w:line="300" w:lineRule="auto"/>
        <w:ind w:right="4"/>
        <w:jc w:val="both"/>
        <w:rPr>
          <w:rFonts w:ascii="TrebuchetMS" w:hAnsi="TrebuchetMS" w:cs="Times New Roman"/>
          <w:i/>
          <w:iCs/>
          <w:color w:val="0563C1"/>
          <w:sz w:val="20"/>
          <w:szCs w:val="20"/>
          <w:u w:val="single"/>
          <w:lang w:val="en-US"/>
        </w:rPr>
      </w:pPr>
      <w:r w:rsidRPr="00A6355B">
        <w:rPr>
          <w:rFonts w:ascii="TrebuchetMS" w:hAnsi="TrebuchetMS" w:cs="Times New Roman"/>
          <w:i/>
          <w:iCs/>
          <w:color w:val="000000"/>
          <w:sz w:val="20"/>
          <w:szCs w:val="20"/>
          <w:lang w:val="en-US"/>
        </w:rPr>
        <w:t xml:space="preserve">See: </w:t>
      </w:r>
      <w:hyperlink r:id="rId30" w:history="1">
        <w:r w:rsidRPr="00A6355B">
          <w:rPr>
            <w:rFonts w:ascii="TrebuchetMS" w:hAnsi="TrebuchetMS" w:cs="Times New Roman"/>
            <w:i/>
            <w:iCs/>
            <w:color w:val="0563C1"/>
            <w:sz w:val="20"/>
            <w:szCs w:val="20"/>
            <w:u w:val="single"/>
            <w:lang w:val="en-US"/>
          </w:rPr>
          <w:t>www.enpa.eu</w:t>
        </w:r>
      </w:hyperlink>
    </w:p>
    <w:p w14:paraId="1D83AEDE" w14:textId="77777777" w:rsidR="00441704" w:rsidRPr="00441704" w:rsidRDefault="00441704" w:rsidP="00441704">
      <w:pPr>
        <w:autoSpaceDE w:val="0"/>
        <w:autoSpaceDN w:val="0"/>
        <w:spacing w:after="280" w:line="300" w:lineRule="auto"/>
        <w:ind w:right="4"/>
        <w:jc w:val="both"/>
        <w:rPr>
          <w:rFonts w:ascii="TrebuchetMS" w:hAnsi="TrebuchetMS" w:cs="Times New Roman"/>
          <w:i/>
          <w:iCs/>
          <w:sz w:val="20"/>
          <w:szCs w:val="20"/>
          <w:lang w:val="en-US"/>
        </w:rPr>
      </w:pPr>
      <w:r w:rsidRPr="00441704">
        <w:rPr>
          <w:rFonts w:ascii="TrebuchetMS" w:hAnsi="TrebuchetMS" w:cs="Times New Roman"/>
          <w:b/>
          <w:i/>
          <w:iCs/>
          <w:sz w:val="20"/>
          <w:szCs w:val="20"/>
          <w:lang w:val="en-US"/>
        </w:rPr>
        <w:t>EPC</w:t>
      </w:r>
      <w:r w:rsidRPr="00441704">
        <w:rPr>
          <w:rFonts w:ascii="TrebuchetMS" w:hAnsi="TrebuchetMS" w:cs="Times New Roman"/>
          <w:i/>
          <w:iCs/>
          <w:sz w:val="20"/>
          <w:szCs w:val="20"/>
          <w:lang w:val="en-US"/>
        </w:rPr>
        <w:t>, the European Publishers Council, is a high level group of Chairmen and CEOs of leading European media corporations actively involved in multimedia markets spanning newspaper, magazine, book, journal, internet and online database publishers, and radio and TV broadcasting.</w:t>
      </w:r>
    </w:p>
    <w:p w14:paraId="5FD82C40" w14:textId="0E127D90" w:rsidR="00441704" w:rsidRPr="00A6355B" w:rsidRDefault="00441704" w:rsidP="00441704">
      <w:pPr>
        <w:autoSpaceDE w:val="0"/>
        <w:autoSpaceDN w:val="0"/>
        <w:spacing w:after="280" w:line="300" w:lineRule="auto"/>
        <w:ind w:right="4"/>
        <w:jc w:val="both"/>
        <w:rPr>
          <w:rFonts w:ascii="TrebuchetMS" w:hAnsi="TrebuchetMS" w:cs="Times New Roman"/>
          <w:i/>
          <w:iCs/>
          <w:color w:val="0563C1"/>
          <w:sz w:val="20"/>
          <w:szCs w:val="20"/>
          <w:u w:val="single"/>
          <w:lang w:val="en-US"/>
        </w:rPr>
      </w:pPr>
      <w:r w:rsidRPr="006465A3">
        <w:rPr>
          <w:rFonts w:ascii="TrebuchetMS" w:hAnsi="TrebuchetMS" w:cs="Times New Roman"/>
          <w:i/>
          <w:iCs/>
          <w:color w:val="0563C1"/>
          <w:sz w:val="20"/>
          <w:szCs w:val="20"/>
          <w:u w:val="single"/>
          <w:lang w:val="en-US"/>
        </w:rPr>
        <w:t>See: http://epceurope.eu</w:t>
      </w:r>
    </w:p>
    <w:p w14:paraId="03267689" w14:textId="34891F7F" w:rsidR="00441704" w:rsidRPr="00A6355B" w:rsidRDefault="00441704" w:rsidP="00441704">
      <w:pPr>
        <w:spacing w:after="0" w:line="240" w:lineRule="auto"/>
        <w:jc w:val="both"/>
        <w:rPr>
          <w:rFonts w:ascii="TrebuchetMS" w:hAnsi="TrebuchetMS" w:cs="Times New Roman"/>
          <w:i/>
          <w:iCs/>
          <w:color w:val="000000"/>
          <w:sz w:val="20"/>
          <w:szCs w:val="20"/>
          <w:lang w:val="en-US"/>
        </w:rPr>
      </w:pPr>
      <w:r w:rsidRPr="00A6355B">
        <w:rPr>
          <w:rFonts w:ascii="TrebuchetMS" w:hAnsi="TrebuchetMS" w:cs="Times New Roman"/>
          <w:b/>
          <w:bCs/>
          <w:i/>
          <w:iCs/>
          <w:color w:val="000000"/>
          <w:sz w:val="20"/>
          <w:szCs w:val="20"/>
          <w:lang w:val="en-US"/>
        </w:rPr>
        <w:t>NME</w:t>
      </w:r>
      <w:r w:rsidRPr="00A6355B">
        <w:rPr>
          <w:rFonts w:ascii="TrebuchetMS" w:hAnsi="TrebuchetMS" w:cs="Times New Roman"/>
          <w:i/>
          <w:iCs/>
          <w:color w:val="000000"/>
          <w:sz w:val="20"/>
          <w:szCs w:val="20"/>
          <w:lang w:val="en-US"/>
        </w:rPr>
        <w:t xml:space="preserve">, News Media Europe, represents the progressive news media industry in Europe – over 2200 European titles of newspapers, radio, TV and internet. NME is committed to maintaining and promoting the freedom of the press, to upholding and enhancing the freedom to publish, and to championing the </w:t>
      </w:r>
      <w:proofErr w:type="spellStart"/>
      <w:r w:rsidRPr="00A6355B">
        <w:rPr>
          <w:rFonts w:ascii="TrebuchetMS" w:hAnsi="TrebuchetMS" w:cs="Times New Roman"/>
          <w:i/>
          <w:iCs/>
          <w:color w:val="000000"/>
          <w:sz w:val="20"/>
          <w:szCs w:val="20"/>
          <w:lang w:val="en-US"/>
        </w:rPr>
        <w:t>newsbrands</w:t>
      </w:r>
      <w:proofErr w:type="spellEnd"/>
      <w:r w:rsidRPr="00A6355B">
        <w:rPr>
          <w:rFonts w:ascii="TrebuchetMS" w:hAnsi="TrebuchetMS" w:cs="Times New Roman"/>
          <w:i/>
          <w:iCs/>
          <w:color w:val="000000"/>
          <w:sz w:val="20"/>
          <w:szCs w:val="20"/>
          <w:lang w:val="en-US"/>
        </w:rPr>
        <w:t xml:space="preserve"> which are one of the most vital parts.</w:t>
      </w:r>
      <w:r w:rsidR="009622BC" w:rsidRPr="009622BC">
        <w:t xml:space="preserve"> </w:t>
      </w:r>
    </w:p>
    <w:p w14:paraId="759E0CBB" w14:textId="77777777" w:rsidR="00441704" w:rsidRPr="00A6355B" w:rsidRDefault="00441704" w:rsidP="00441704">
      <w:pPr>
        <w:spacing w:after="0" w:line="240" w:lineRule="auto"/>
        <w:rPr>
          <w:rFonts w:ascii="TrebuchetMS" w:hAnsi="TrebuchetMS" w:cs="Times New Roman"/>
          <w:i/>
          <w:iCs/>
          <w:color w:val="000000"/>
          <w:sz w:val="20"/>
          <w:szCs w:val="20"/>
          <w:lang w:val="en-US"/>
        </w:rPr>
      </w:pPr>
    </w:p>
    <w:p w14:paraId="4B5B4D28" w14:textId="77777777" w:rsidR="00C61111" w:rsidRDefault="00441704" w:rsidP="00441704">
      <w:pPr>
        <w:spacing w:after="0" w:line="240" w:lineRule="auto"/>
        <w:rPr>
          <w:rFonts w:ascii="TrebuchetMS" w:eastAsia="Calibri" w:hAnsi="TrebuchetMS" w:cs="Calibri"/>
          <w:i/>
          <w:color w:val="0563C1"/>
          <w:sz w:val="20"/>
          <w:szCs w:val="20"/>
          <w:u w:val="single"/>
          <w:lang w:val="nl-BE"/>
        </w:rPr>
      </w:pPr>
      <w:r w:rsidRPr="00A6355B">
        <w:rPr>
          <w:rFonts w:ascii="TrebuchetMS" w:hAnsi="TrebuchetMS" w:cs="Times New Roman"/>
          <w:i/>
          <w:sz w:val="20"/>
          <w:szCs w:val="20"/>
          <w:lang w:val="en-US"/>
        </w:rPr>
        <w:t xml:space="preserve">See: </w:t>
      </w:r>
      <w:hyperlink r:id="rId31" w:history="1">
        <w:r w:rsidRPr="00A6355B">
          <w:rPr>
            <w:rFonts w:ascii="TrebuchetMS" w:eastAsia="Calibri" w:hAnsi="TrebuchetMS" w:cs="Calibri"/>
            <w:i/>
            <w:color w:val="0563C1"/>
            <w:sz w:val="20"/>
            <w:szCs w:val="20"/>
            <w:u w:val="single"/>
            <w:lang w:val="nl-BE"/>
          </w:rPr>
          <w:t>www.newsmediaeurope.eu</w:t>
        </w:r>
      </w:hyperlink>
    </w:p>
    <w:p w14:paraId="0502732E" w14:textId="77777777" w:rsidR="009622BC" w:rsidRDefault="009622BC" w:rsidP="00441704">
      <w:pPr>
        <w:spacing w:after="0" w:line="240" w:lineRule="auto"/>
        <w:rPr>
          <w:rFonts w:ascii="TrebuchetMS" w:eastAsia="Calibri" w:hAnsi="TrebuchetMS" w:cs="Calibri"/>
          <w:i/>
          <w:color w:val="0563C1"/>
          <w:sz w:val="20"/>
          <w:szCs w:val="20"/>
          <w:u w:val="single"/>
          <w:lang w:val="nl-BE"/>
        </w:rPr>
      </w:pPr>
    </w:p>
    <w:p w14:paraId="0B8A2B6C" w14:textId="77777777" w:rsidR="009622BC" w:rsidRDefault="009622BC" w:rsidP="00441704">
      <w:pPr>
        <w:spacing w:after="0" w:line="240" w:lineRule="auto"/>
        <w:rPr>
          <w:rFonts w:ascii="TrebuchetMS" w:eastAsia="Calibri" w:hAnsi="TrebuchetMS" w:cs="Calibri"/>
          <w:i/>
          <w:color w:val="0563C1"/>
          <w:sz w:val="20"/>
          <w:szCs w:val="20"/>
          <w:u w:val="single"/>
          <w:lang w:val="nl-BE"/>
        </w:rPr>
      </w:pPr>
    </w:p>
    <w:p w14:paraId="0C500435" w14:textId="77777777" w:rsidR="00C2253C" w:rsidRDefault="009622BC" w:rsidP="00860E57">
      <w:pPr>
        <w:spacing w:after="0" w:line="240" w:lineRule="auto"/>
        <w:jc w:val="both"/>
        <w:rPr>
          <w:rFonts w:ascii="TrebuchetMS" w:hAnsi="TrebuchetMS" w:cs="Times New Roman"/>
          <w:i/>
          <w:iCs/>
          <w:color w:val="000000"/>
          <w:sz w:val="20"/>
          <w:szCs w:val="20"/>
          <w:lang w:val="en-US"/>
        </w:rPr>
      </w:pPr>
      <w:r w:rsidRPr="00860E57">
        <w:rPr>
          <w:rFonts w:ascii="TrebuchetMS" w:hAnsi="TrebuchetMS" w:cs="Times New Roman"/>
          <w:b/>
          <w:i/>
          <w:iCs/>
          <w:color w:val="000000"/>
          <w:sz w:val="20"/>
          <w:szCs w:val="20"/>
          <w:lang w:val="en-US"/>
        </w:rPr>
        <w:t>UNI MEI</w:t>
      </w:r>
      <w:r w:rsidRPr="009622BC">
        <w:rPr>
          <w:rFonts w:ascii="TrebuchetMS" w:hAnsi="TrebuchetMS" w:cs="Times New Roman"/>
          <w:i/>
          <w:iCs/>
          <w:color w:val="000000"/>
          <w:sz w:val="20"/>
          <w:szCs w:val="20"/>
          <w:lang w:val="en-US"/>
        </w:rPr>
        <w:t xml:space="preserve"> is the global union in the media, entertainment, and arts. UNI MEI represents 170 national unions &amp; guilds affiliating more than 400 000 creators, technicians and other workers in the media, entertainment and arts worldwide.</w:t>
      </w:r>
    </w:p>
    <w:p w14:paraId="3A859E17" w14:textId="77777777" w:rsidR="00C2253C" w:rsidRDefault="00C2253C" w:rsidP="00860E57">
      <w:pPr>
        <w:spacing w:after="0" w:line="240" w:lineRule="auto"/>
        <w:jc w:val="both"/>
        <w:rPr>
          <w:rFonts w:ascii="TrebuchetMS" w:hAnsi="TrebuchetMS" w:cs="Times New Roman"/>
          <w:i/>
          <w:iCs/>
          <w:color w:val="000000"/>
          <w:sz w:val="20"/>
          <w:szCs w:val="20"/>
          <w:lang w:val="en-US"/>
        </w:rPr>
      </w:pPr>
    </w:p>
    <w:p w14:paraId="64114C0E" w14:textId="28438BBD" w:rsidR="009622BC" w:rsidRPr="00860E57" w:rsidRDefault="00C2253C" w:rsidP="00860E57">
      <w:pPr>
        <w:spacing w:after="0" w:line="240" w:lineRule="auto"/>
        <w:jc w:val="both"/>
        <w:rPr>
          <w:rFonts w:ascii="TrebuchetMS" w:eastAsia="Calibri" w:hAnsi="TrebuchetMS" w:cs="Calibri"/>
          <w:i/>
          <w:color w:val="0563C1"/>
          <w:sz w:val="20"/>
          <w:szCs w:val="20"/>
          <w:u w:val="single"/>
          <w:lang w:val="nl-BE"/>
        </w:rPr>
      </w:pPr>
      <w:r>
        <w:rPr>
          <w:rFonts w:ascii="TrebuchetMS" w:hAnsi="TrebuchetMS" w:cs="Times New Roman"/>
          <w:i/>
          <w:iCs/>
          <w:color w:val="000000"/>
          <w:sz w:val="20"/>
          <w:szCs w:val="20"/>
          <w:lang w:val="en-US"/>
        </w:rPr>
        <w:t xml:space="preserve">See: </w:t>
      </w:r>
      <w:hyperlink r:id="rId32" w:history="1">
        <w:r w:rsidRPr="00C2253C">
          <w:rPr>
            <w:rStyle w:val="Hyperlink"/>
            <w:rFonts w:ascii="TrebuchetMS" w:hAnsi="TrebuchetMS" w:cs="Times New Roman"/>
            <w:i/>
            <w:iCs/>
            <w:sz w:val="20"/>
            <w:szCs w:val="20"/>
            <w:lang w:val="en-US"/>
          </w:rPr>
          <w:t>www.uniglobalunion.org</w:t>
        </w:r>
      </w:hyperlink>
    </w:p>
    <w:sectPr w:rsidR="009622BC" w:rsidRPr="00860E57" w:rsidSect="00441704">
      <w:headerReference w:type="default" r:id="rId3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8D43E" w14:textId="77777777" w:rsidR="000F0EAF" w:rsidRDefault="000F0EAF" w:rsidP="00C61111">
      <w:pPr>
        <w:spacing w:after="0" w:line="240" w:lineRule="auto"/>
      </w:pPr>
      <w:r>
        <w:separator/>
      </w:r>
    </w:p>
  </w:endnote>
  <w:endnote w:type="continuationSeparator" w:id="0">
    <w:p w14:paraId="5966139A" w14:textId="77777777" w:rsidR="000F0EAF" w:rsidRDefault="000F0EAF" w:rsidP="00C6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rebuchetMS">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D5BD" w14:textId="77777777" w:rsidR="000F0EAF" w:rsidRDefault="000F0EAF" w:rsidP="00C61111">
      <w:pPr>
        <w:spacing w:after="0" w:line="240" w:lineRule="auto"/>
      </w:pPr>
      <w:r>
        <w:separator/>
      </w:r>
    </w:p>
  </w:footnote>
  <w:footnote w:type="continuationSeparator" w:id="0">
    <w:p w14:paraId="239B6D13" w14:textId="77777777" w:rsidR="000F0EAF" w:rsidRDefault="000F0EAF" w:rsidP="00C61111">
      <w:pPr>
        <w:spacing w:after="0" w:line="240" w:lineRule="auto"/>
      </w:pPr>
      <w:r>
        <w:continuationSeparator/>
      </w:r>
    </w:p>
  </w:footnote>
  <w:footnote w:id="1">
    <w:p w14:paraId="454AA589" w14:textId="77777777" w:rsidR="00287785" w:rsidRDefault="00287785">
      <w:pPr>
        <w:pStyle w:val="FootnoteText"/>
      </w:pPr>
      <w:r>
        <w:rPr>
          <w:rStyle w:val="FootnoteReference"/>
        </w:rPr>
        <w:footnoteRef/>
      </w:r>
      <w:r>
        <w:t xml:space="preserve"> These are the very reasons why the General Data Protection Regulation foresees an exception for media outlets at article 85</w:t>
      </w:r>
    </w:p>
    <w:p w14:paraId="5BBD5CB9" w14:textId="7F42E8E9" w:rsidR="00287785" w:rsidRDefault="0092495F" w:rsidP="00287785">
      <w:pPr>
        <w:pStyle w:val="FootnoteText"/>
      </w:pPr>
      <w:hyperlink r:id="rId1" w:history="1">
        <w:r w:rsidR="00860E57" w:rsidRPr="00AE4475">
          <w:rPr>
            <w:rStyle w:val="Hyperlink"/>
          </w:rPr>
          <w:t>https://eur-lex.europa.eu/legal-content/EN/TXT/PDF/?uri=CELEX:02016R0679-20160504&amp;from=EN</w:t>
        </w:r>
      </w:hyperlink>
      <w:r w:rsidR="00860E5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500E" w14:textId="63CD5475" w:rsidR="00A012D0" w:rsidRDefault="00A012D0" w:rsidP="00860E57">
    <w:pPr>
      <w:spacing w:before="100" w:beforeAutospacing="1" w:after="100" w:afterAutospacing="1"/>
      <w:contextualSpacing/>
      <w:jc w:val="center"/>
      <w:rPr>
        <w:rFonts w:cstheme="minorHAnsi"/>
        <w:b/>
      </w:rPr>
    </w:pPr>
    <w:r>
      <w:rPr>
        <w:rFonts w:cstheme="minorHAnsi"/>
        <w:b/>
        <w:noProof/>
        <w:lang w:val="fr-CH" w:eastAsia="fr-CH"/>
      </w:rPr>
      <w:drawing>
        <wp:inline distT="0" distB="0" distL="0" distR="0" wp14:anchorId="7588157E" wp14:editId="301F198C">
          <wp:extent cx="1068309" cy="280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377" cy="286536"/>
                  </a:xfrm>
                  <a:prstGeom prst="rect">
                    <a:avLst/>
                  </a:prstGeom>
                  <a:noFill/>
                </pic:spPr>
              </pic:pic>
            </a:graphicData>
          </a:graphic>
        </wp:inline>
      </w:drawing>
    </w:r>
    <w:r w:rsidR="00C61111">
      <w:rPr>
        <w:rFonts w:cstheme="minorHAnsi"/>
        <w:b/>
        <w:noProof/>
        <w:lang w:val="fr-CH" w:eastAsia="fr-CH"/>
      </w:rPr>
      <w:drawing>
        <wp:inline distT="0" distB="0" distL="0" distR="0" wp14:anchorId="0677CCD1" wp14:editId="40414CBC">
          <wp:extent cx="954246" cy="3983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639" cy="418137"/>
                  </a:xfrm>
                  <a:prstGeom prst="rect">
                    <a:avLst/>
                  </a:prstGeom>
                  <a:noFill/>
                </pic:spPr>
              </pic:pic>
            </a:graphicData>
          </a:graphic>
        </wp:inline>
      </w:drawing>
    </w:r>
    <w:r w:rsidR="00C61111">
      <w:rPr>
        <w:rFonts w:cstheme="minorHAnsi"/>
        <w:b/>
        <w:noProof/>
        <w:lang w:val="fr-CH" w:eastAsia="fr-CH"/>
      </w:rPr>
      <w:drawing>
        <wp:inline distT="0" distB="0" distL="0" distR="0" wp14:anchorId="3C669661" wp14:editId="46197BC4">
          <wp:extent cx="1121052" cy="33497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6256" cy="351473"/>
                  </a:xfrm>
                  <a:prstGeom prst="rect">
                    <a:avLst/>
                  </a:prstGeom>
                  <a:noFill/>
                </pic:spPr>
              </pic:pic>
            </a:graphicData>
          </a:graphic>
        </wp:inline>
      </w:drawing>
    </w:r>
    <w:r w:rsidR="00C61111">
      <w:rPr>
        <w:rFonts w:cstheme="minorHAnsi"/>
        <w:b/>
        <w:noProof/>
        <w:lang w:val="fr-CH" w:eastAsia="fr-CH"/>
      </w:rPr>
      <w:drawing>
        <wp:inline distT="0" distB="0" distL="0" distR="0" wp14:anchorId="14B453D5" wp14:editId="193ABBE9">
          <wp:extent cx="860061" cy="334978"/>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3940" cy="352068"/>
                  </a:xfrm>
                  <a:prstGeom prst="rect">
                    <a:avLst/>
                  </a:prstGeom>
                  <a:noFill/>
                </pic:spPr>
              </pic:pic>
            </a:graphicData>
          </a:graphic>
        </wp:inline>
      </w:drawing>
    </w:r>
    <w:r w:rsidR="00C61111">
      <w:rPr>
        <w:rFonts w:cstheme="minorHAnsi"/>
        <w:b/>
        <w:noProof/>
        <w:lang w:val="fr-CH" w:eastAsia="fr-CH"/>
      </w:rPr>
      <w:drawing>
        <wp:inline distT="0" distB="0" distL="0" distR="0" wp14:anchorId="6C5C7594" wp14:editId="108EF1A7">
          <wp:extent cx="1004935" cy="36965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792" cy="383211"/>
                  </a:xfrm>
                  <a:prstGeom prst="rect">
                    <a:avLst/>
                  </a:prstGeom>
                  <a:noFill/>
                </pic:spPr>
              </pic:pic>
            </a:graphicData>
          </a:graphic>
        </wp:inline>
      </w:drawing>
    </w:r>
    <w:r w:rsidR="00C61111">
      <w:rPr>
        <w:rFonts w:cstheme="minorHAnsi"/>
        <w:b/>
        <w:noProof/>
        <w:lang w:val="fr-CH" w:eastAsia="fr-CH"/>
      </w:rPr>
      <w:drawing>
        <wp:inline distT="0" distB="0" distL="0" distR="0" wp14:anchorId="4EEB7115" wp14:editId="03224348">
          <wp:extent cx="1077362" cy="284739"/>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2879" cy="323198"/>
                  </a:xfrm>
                  <a:prstGeom prst="rect">
                    <a:avLst/>
                  </a:prstGeom>
                  <a:noFill/>
                </pic:spPr>
              </pic:pic>
            </a:graphicData>
          </a:graphic>
        </wp:inline>
      </w:drawing>
    </w:r>
    <w:r w:rsidR="00C61111">
      <w:rPr>
        <w:rFonts w:cstheme="minorHAnsi"/>
        <w:b/>
        <w:noProof/>
        <w:lang w:val="fr-CH" w:eastAsia="fr-CH"/>
      </w:rPr>
      <w:drawing>
        <wp:inline distT="0" distB="0" distL="0" distR="0" wp14:anchorId="6972B95B" wp14:editId="02D12B5D">
          <wp:extent cx="908437" cy="316871"/>
          <wp:effectExtent l="0" t="0" r="635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726" cy="329180"/>
                  </a:xfrm>
                  <a:prstGeom prst="rect">
                    <a:avLst/>
                  </a:prstGeom>
                  <a:noFill/>
                </pic:spPr>
              </pic:pic>
            </a:graphicData>
          </a:graphic>
        </wp:inline>
      </w:drawing>
    </w:r>
    <w:r w:rsidR="00C61111">
      <w:rPr>
        <w:rFonts w:cstheme="minorHAnsi"/>
        <w:b/>
        <w:noProof/>
        <w:lang w:val="fr-CH" w:eastAsia="fr-CH"/>
      </w:rPr>
      <w:drawing>
        <wp:inline distT="0" distB="0" distL="0" distR="0" wp14:anchorId="6B53C2E2" wp14:editId="2F2A6247">
          <wp:extent cx="1363749" cy="32592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947" cy="353695"/>
                  </a:xfrm>
                  <a:prstGeom prst="rect">
                    <a:avLst/>
                  </a:prstGeom>
                  <a:noFill/>
                </pic:spPr>
              </pic:pic>
            </a:graphicData>
          </a:graphic>
        </wp:inline>
      </w:drawing>
    </w:r>
    <w:r w:rsidR="00676433">
      <w:rPr>
        <w:rFonts w:cstheme="minorHAnsi"/>
        <w:b/>
        <w:noProof/>
        <w:lang w:val="fr-CH" w:eastAsia="fr-CH"/>
      </w:rPr>
      <w:drawing>
        <wp:inline distT="0" distB="0" distL="0" distR="0" wp14:anchorId="572DE585" wp14:editId="7DC5C75C">
          <wp:extent cx="1068309" cy="509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699" cy="514710"/>
                  </a:xfrm>
                  <a:prstGeom prst="rect">
                    <a:avLst/>
                  </a:prstGeom>
                  <a:noFill/>
                </pic:spPr>
              </pic:pic>
            </a:graphicData>
          </a:graphic>
        </wp:inline>
      </w:drawing>
    </w:r>
  </w:p>
  <w:p w14:paraId="192C7DAA" w14:textId="77777777" w:rsidR="00C61111" w:rsidRDefault="00C61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B7"/>
    <w:rsid w:val="000631B7"/>
    <w:rsid w:val="00070C65"/>
    <w:rsid w:val="000A186E"/>
    <w:rsid w:val="000F0EAF"/>
    <w:rsid w:val="0014759E"/>
    <w:rsid w:val="001728D4"/>
    <w:rsid w:val="0022330A"/>
    <w:rsid w:val="00253195"/>
    <w:rsid w:val="00287785"/>
    <w:rsid w:val="002F20DC"/>
    <w:rsid w:val="002F7DB1"/>
    <w:rsid w:val="00441704"/>
    <w:rsid w:val="0044762F"/>
    <w:rsid w:val="004525F7"/>
    <w:rsid w:val="0045543B"/>
    <w:rsid w:val="00470CB7"/>
    <w:rsid w:val="005A5BF6"/>
    <w:rsid w:val="005D3A37"/>
    <w:rsid w:val="005D41CA"/>
    <w:rsid w:val="005D61C7"/>
    <w:rsid w:val="006465A3"/>
    <w:rsid w:val="00676433"/>
    <w:rsid w:val="00701A40"/>
    <w:rsid w:val="00714975"/>
    <w:rsid w:val="007B1E13"/>
    <w:rsid w:val="0081126B"/>
    <w:rsid w:val="00860E57"/>
    <w:rsid w:val="00920686"/>
    <w:rsid w:val="009234DF"/>
    <w:rsid w:val="0092495F"/>
    <w:rsid w:val="009622BC"/>
    <w:rsid w:val="00974BAD"/>
    <w:rsid w:val="009C765D"/>
    <w:rsid w:val="009D73F0"/>
    <w:rsid w:val="00A012D0"/>
    <w:rsid w:val="00A3082D"/>
    <w:rsid w:val="00A55D4B"/>
    <w:rsid w:val="00A6355B"/>
    <w:rsid w:val="00B1516E"/>
    <w:rsid w:val="00B155AF"/>
    <w:rsid w:val="00B3065F"/>
    <w:rsid w:val="00B30CE1"/>
    <w:rsid w:val="00C21349"/>
    <w:rsid w:val="00C2253C"/>
    <w:rsid w:val="00C55C13"/>
    <w:rsid w:val="00C61111"/>
    <w:rsid w:val="00DB7B4D"/>
    <w:rsid w:val="00E45CD2"/>
    <w:rsid w:val="00ED69CD"/>
    <w:rsid w:val="00F1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768A9"/>
  <w15:chartTrackingRefBased/>
  <w15:docId w15:val="{19241BD8-74EB-4109-8206-01C83F15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1B7"/>
    <w:rPr>
      <w:color w:val="0563C1" w:themeColor="hyperlink"/>
      <w:u w:val="single"/>
    </w:rPr>
  </w:style>
  <w:style w:type="paragraph" w:styleId="Header">
    <w:name w:val="header"/>
    <w:basedOn w:val="Normal"/>
    <w:link w:val="HeaderChar"/>
    <w:uiPriority w:val="99"/>
    <w:unhideWhenUsed/>
    <w:rsid w:val="00C6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11"/>
  </w:style>
  <w:style w:type="paragraph" w:styleId="Footer">
    <w:name w:val="footer"/>
    <w:basedOn w:val="Normal"/>
    <w:link w:val="FooterChar"/>
    <w:uiPriority w:val="99"/>
    <w:unhideWhenUsed/>
    <w:rsid w:val="00C6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11"/>
  </w:style>
  <w:style w:type="paragraph" w:customStyle="1" w:styleId="Body">
    <w:name w:val="Body"/>
    <w:rsid w:val="00C611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de-DE"/>
    </w:rPr>
  </w:style>
  <w:style w:type="table" w:customStyle="1" w:styleId="TableNormal1">
    <w:name w:val="Table Normal1"/>
    <w:rsid w:val="00C611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character" w:customStyle="1" w:styleId="None">
    <w:name w:val="None"/>
    <w:rsid w:val="00C61111"/>
  </w:style>
  <w:style w:type="paragraph" w:styleId="BalloonText">
    <w:name w:val="Balloon Text"/>
    <w:basedOn w:val="Normal"/>
    <w:link w:val="BalloonTextChar"/>
    <w:uiPriority w:val="99"/>
    <w:semiHidden/>
    <w:unhideWhenUsed/>
    <w:rsid w:val="00A6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61C7"/>
    <w:rPr>
      <w:color w:val="605E5C"/>
      <w:shd w:val="clear" w:color="auto" w:fill="E1DFDD"/>
    </w:rPr>
  </w:style>
  <w:style w:type="paragraph" w:styleId="FootnoteText">
    <w:name w:val="footnote text"/>
    <w:basedOn w:val="Normal"/>
    <w:link w:val="FootnoteTextChar"/>
    <w:uiPriority w:val="99"/>
    <w:semiHidden/>
    <w:unhideWhenUsed/>
    <w:rsid w:val="00A55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D4B"/>
    <w:rPr>
      <w:sz w:val="20"/>
      <w:szCs w:val="20"/>
    </w:rPr>
  </w:style>
  <w:style w:type="character" w:styleId="FootnoteReference">
    <w:name w:val="footnote reference"/>
    <w:basedOn w:val="DefaultParagraphFont"/>
    <w:uiPriority w:val="99"/>
    <w:semiHidden/>
    <w:unhideWhenUsed/>
    <w:rsid w:val="00A55D4B"/>
    <w:rPr>
      <w:vertAlign w:val="superscript"/>
    </w:rPr>
  </w:style>
  <w:style w:type="character" w:styleId="CommentReference">
    <w:name w:val="annotation reference"/>
    <w:basedOn w:val="DefaultParagraphFont"/>
    <w:uiPriority w:val="99"/>
    <w:semiHidden/>
    <w:unhideWhenUsed/>
    <w:rsid w:val="00287785"/>
    <w:rPr>
      <w:sz w:val="16"/>
      <w:szCs w:val="16"/>
    </w:rPr>
  </w:style>
  <w:style w:type="paragraph" w:styleId="CommentText">
    <w:name w:val="annotation text"/>
    <w:basedOn w:val="Normal"/>
    <w:link w:val="CommentTextChar"/>
    <w:uiPriority w:val="99"/>
    <w:semiHidden/>
    <w:unhideWhenUsed/>
    <w:rsid w:val="00287785"/>
    <w:pPr>
      <w:spacing w:line="240" w:lineRule="auto"/>
    </w:pPr>
    <w:rPr>
      <w:sz w:val="20"/>
      <w:szCs w:val="20"/>
    </w:rPr>
  </w:style>
  <w:style w:type="character" w:customStyle="1" w:styleId="CommentTextChar">
    <w:name w:val="Comment Text Char"/>
    <w:basedOn w:val="DefaultParagraphFont"/>
    <w:link w:val="CommentText"/>
    <w:uiPriority w:val="99"/>
    <w:semiHidden/>
    <w:rsid w:val="00287785"/>
    <w:rPr>
      <w:sz w:val="20"/>
      <w:szCs w:val="20"/>
    </w:rPr>
  </w:style>
  <w:style w:type="paragraph" w:styleId="CommentSubject">
    <w:name w:val="annotation subject"/>
    <w:basedOn w:val="CommentText"/>
    <w:next w:val="CommentText"/>
    <w:link w:val="CommentSubjectChar"/>
    <w:uiPriority w:val="99"/>
    <w:semiHidden/>
    <w:unhideWhenUsed/>
    <w:rsid w:val="00287785"/>
    <w:rPr>
      <w:b/>
      <w:bCs/>
    </w:rPr>
  </w:style>
  <w:style w:type="character" w:customStyle="1" w:styleId="CommentSubjectChar">
    <w:name w:val="Comment Subject Char"/>
    <w:basedOn w:val="CommentTextChar"/>
    <w:link w:val="CommentSubject"/>
    <w:uiPriority w:val="99"/>
    <w:semiHidden/>
    <w:rsid w:val="00287785"/>
    <w:rPr>
      <w:b/>
      <w:bCs/>
      <w:sz w:val="20"/>
      <w:szCs w:val="20"/>
    </w:rPr>
  </w:style>
  <w:style w:type="table" w:customStyle="1" w:styleId="TableNormal12">
    <w:name w:val="Table Normal12"/>
    <w:rsid w:val="00B155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table" w:customStyle="1" w:styleId="TableNormal13">
    <w:name w:val="Table Normal13"/>
    <w:rsid w:val="00B155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table" w:customStyle="1" w:styleId="TableNormal131">
    <w:name w:val="Table Normal131"/>
    <w:rsid w:val="00B155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86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C:\Users\Philippe\AppData\Local\Microsoft\Windows\Temporary%20Internet%20Files\Content.Outlook\3OB4QF5V\www.epceurope.eu" TargetMode="External"/><Relationship Id="rId26" Type="http://schemas.openxmlformats.org/officeDocument/2006/relationships/hyperlink" Target="http://www.aereurope.org"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hyperlink" Target="https://eur-lex.europa.eu/legal-content/EN/TXT/?uri=COM%3A2018%3A225%3AFIN" TargetMode="External"/><Relationship Id="rId12" Type="http://schemas.openxmlformats.org/officeDocument/2006/relationships/image" Target="media/image2.png"/><Relationship Id="rId17" Type="http://schemas.openxmlformats.org/officeDocument/2006/relationships/hyperlink" Target="http://www.magazinemedia.eu" TargetMode="External"/><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Philippe\AppData\Local\Microsoft\Windows\Temporary%20Internet%20Files\Content.Outlook\3OB4QF5V\www.enpa.eu" TargetMode="External"/><Relationship Id="rId20" Type="http://schemas.openxmlformats.org/officeDocument/2006/relationships/image" Target="media/image5.jpeg"/><Relationship Id="rId29" Type="http://schemas.openxmlformats.org/officeDocument/2006/relationships/hyperlink" Target="http://www.magazinemedia.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file:///C:\Users\Festina\AppData\Local\Microsoft\Windows\INetCache\Content.Outlook\XYVA1FL6\www.uniglobalunion.org" TargetMode="External"/><Relationship Id="rId32" Type="http://schemas.openxmlformats.org/officeDocument/2006/relationships/hyperlink" Target="file:///C:\Users\Festina\AppData\Local\Microsoft\Windows\INetCache\Content.Outlook\XYVA1FL6\www.uniglobalunion.org" TargetMode="External"/><Relationship Id="rId5" Type="http://schemas.openxmlformats.org/officeDocument/2006/relationships/footnotes" Target="footnotes.xml"/><Relationship Id="rId15" Type="http://schemas.openxmlformats.org/officeDocument/2006/relationships/hyperlink" Target="https://acte.be/" TargetMode="External"/><Relationship Id="rId23" Type="http://schemas.openxmlformats.org/officeDocument/2006/relationships/image" Target="media/image8.png"/><Relationship Id="rId28" Type="http://schemas.openxmlformats.org/officeDocument/2006/relationships/hyperlink" Target="file:///C:\Users\Festina\AppData\Local\Microsoft\Windows\INetCache\Content.Outlook\XYVA1FL6\www.europeanjournalists.org" TargetMode="External"/><Relationship Id="rId10" Type="http://schemas.openxmlformats.org/officeDocument/2006/relationships/hyperlink" Target="file:///C:\Users\Festina\AppData\Local\Microsoft\Windows\INetCache\Content.Outlook\XYVA1FL6\www.europeanjournalists.org" TargetMode="External"/><Relationship Id="rId19" Type="http://schemas.openxmlformats.org/officeDocument/2006/relationships/hyperlink" Target="file:///C:\Users\Philippe\AppData\Local\Microsoft\Windows\Temporary%20Internet%20Files\Content.Outlook\3OB4QF5V\www.newsmediaeurope.eu" TargetMode="External"/><Relationship Id="rId31" Type="http://schemas.openxmlformats.org/officeDocument/2006/relationships/hyperlink" Target="file:///C:\Users\Philippe\AppData\Local\Microsoft\Windows\Temporary%20Internet%20Files\Content.Outlook\3OB4QF5V\www.newsmediaeurope.eu" TargetMode="External"/><Relationship Id="rId4" Type="http://schemas.openxmlformats.org/officeDocument/2006/relationships/webSettings" Target="webSettings.xml"/><Relationship Id="rId9" Type="http://schemas.openxmlformats.org/officeDocument/2006/relationships/hyperlink" Target="file:///C:\Users\Festina\AppData\Local\Microsoft\Windows\INetCache\Content.Outlook\XYVA1FL6\www.ebu.ch"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file:///C:\Users\Festina\AppData\Local\Microsoft\Windows\INetCache\Content.Outlook\XYVA1FL6\www.ebu.ch" TargetMode="External"/><Relationship Id="rId30" Type="http://schemas.openxmlformats.org/officeDocument/2006/relationships/hyperlink" Target="http://www.enpa.eu" TargetMode="External"/><Relationship Id="rId35" Type="http://schemas.openxmlformats.org/officeDocument/2006/relationships/theme" Target="theme/theme1.xml"/><Relationship Id="rId8" Type="http://schemas.openxmlformats.org/officeDocument/2006/relationships/hyperlink" Target="http://www.aereurop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02016R0679-20160504&amp;from=EN"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7.png"/><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png"/><Relationship Id="rId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7CF4-3F75-45B7-98C4-99151891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de Looz-Corswarem</dc:creator>
  <cp:keywords/>
  <dc:description/>
  <cp:lastModifiedBy>Gekiere, Wouter</cp:lastModifiedBy>
  <cp:revision>3</cp:revision>
  <dcterms:created xsi:type="dcterms:W3CDTF">2018-11-09T14:04:00Z</dcterms:created>
  <dcterms:modified xsi:type="dcterms:W3CDTF">2018-11-09T14:27:00Z</dcterms:modified>
</cp:coreProperties>
</file>